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F660FC" w:rsidTr="00F660FC">
        <w:trPr>
          <w:jc w:val="center"/>
        </w:trPr>
        <w:tc>
          <w:tcPr>
            <w:tcW w:w="743" w:type="dxa"/>
            <w:hideMark/>
          </w:tcPr>
          <w:p w:rsidR="00F660FC" w:rsidRDefault="0094424E">
            <w:pPr>
              <w:jc w:val="both"/>
              <w:rPr>
                <w:rFonts w:ascii="Arial" w:hAnsi="Arial"/>
                <w:b/>
                <w:bCs/>
              </w:rPr>
            </w:pPr>
            <w:bookmarkStart w:id="0" w:name="_GoBack"/>
            <w:bookmarkEnd w:id="0"/>
            <w:r>
              <w:rPr>
                <w:rtl/>
              </w:rPr>
              <w:t xml:space="preserve"> </w:t>
            </w:r>
            <w:bookmarkStart w:id="1" w:name="NGCSBookmark"/>
            <w:bookmarkEnd w:id="1"/>
            <w:r w:rsidR="00F660FC">
              <w:rPr>
                <w:rFonts w:ascii="Arial" w:hAnsi="Arial"/>
                <w:b/>
                <w:bCs/>
                <w:rtl/>
              </w:rPr>
              <w:t xml:space="preserve">בפני </w:t>
            </w:r>
          </w:p>
        </w:tc>
        <w:tc>
          <w:tcPr>
            <w:tcW w:w="8077" w:type="dxa"/>
            <w:gridSpan w:val="2"/>
          </w:tcPr>
          <w:p w:rsidR="00F660FC" w:rsidRDefault="00F660FC">
            <w:pPr>
              <w:rPr>
                <w:rFonts w:ascii="Arial" w:hAnsi="Arial"/>
                <w:b/>
                <w:bCs/>
                <w:rtl/>
              </w:rPr>
            </w:pPr>
            <w:r>
              <w:rPr>
                <w:rFonts w:ascii="Arial" w:hAnsi="Arial"/>
                <w:b/>
                <w:bCs/>
                <w:rtl/>
              </w:rPr>
              <w:t>כבוד השופטת  אפרת שהם דליות</w:t>
            </w:r>
          </w:p>
          <w:p w:rsidR="002D6F33" w:rsidRDefault="002D6F33">
            <w:pPr>
              <w:rPr>
                <w:rFonts w:ascii="Arial" w:hAnsi="Arial"/>
                <w:b/>
                <w:bCs/>
              </w:rPr>
            </w:pPr>
          </w:p>
          <w:p w:rsidR="00F660FC" w:rsidRDefault="00F660FC">
            <w:pPr>
              <w:jc w:val="right"/>
              <w:rPr>
                <w:rFonts w:ascii="Arial" w:hAnsi="Arial" w:cs="FrankRuehl"/>
                <w:sz w:val="28"/>
                <w:szCs w:val="28"/>
                <w:highlight w:val="yellow"/>
                <w:rtl/>
              </w:rPr>
            </w:pPr>
          </w:p>
        </w:tc>
      </w:tr>
      <w:tr w:rsidR="00F660FC" w:rsidTr="00F660FC">
        <w:trPr>
          <w:jc w:val="center"/>
        </w:trPr>
        <w:tc>
          <w:tcPr>
            <w:tcW w:w="3249" w:type="dxa"/>
            <w:gridSpan w:val="2"/>
            <w:hideMark/>
          </w:tcPr>
          <w:p w:rsidR="00F660FC" w:rsidRDefault="00F660FC">
            <w:pPr>
              <w:rPr>
                <w:rFonts w:ascii="Arial" w:hAnsi="Arial"/>
                <w:b/>
                <w:bCs/>
                <w:noProof w:val="0"/>
                <w:sz w:val="26"/>
                <w:szCs w:val="26"/>
                <w:rtl/>
              </w:rPr>
            </w:pPr>
            <w:r>
              <w:rPr>
                <w:rFonts w:ascii="Arial" w:hAnsi="Arial"/>
                <w:b/>
                <w:bCs/>
                <w:noProof w:val="0"/>
                <w:sz w:val="26"/>
                <w:szCs w:val="26"/>
                <w:rtl/>
              </w:rPr>
              <w:t>התובע</w:t>
            </w:r>
          </w:p>
        </w:tc>
        <w:tc>
          <w:tcPr>
            <w:tcW w:w="5571" w:type="dxa"/>
            <w:hideMark/>
          </w:tcPr>
          <w:p w:rsidR="00F660FC" w:rsidRDefault="00EB0545">
            <w:pPr>
              <w:rPr>
                <w:b/>
                <w:bCs/>
                <w:noProof w:val="0"/>
                <w:sz w:val="26"/>
                <w:szCs w:val="26"/>
              </w:rPr>
            </w:pPr>
            <w:r>
              <w:rPr>
                <w:rFonts w:ascii="Arial" w:hAnsi="Arial" w:hint="cs"/>
                <w:b/>
                <w:bCs/>
                <w:noProof w:val="0"/>
                <w:sz w:val="26"/>
                <w:szCs w:val="26"/>
                <w:rtl/>
              </w:rPr>
              <w:t>פלוני</w:t>
            </w:r>
          </w:p>
        </w:tc>
      </w:tr>
      <w:tr w:rsidR="00F660FC" w:rsidTr="00F660FC">
        <w:trPr>
          <w:jc w:val="center"/>
        </w:trPr>
        <w:tc>
          <w:tcPr>
            <w:tcW w:w="8820" w:type="dxa"/>
            <w:gridSpan w:val="3"/>
          </w:tcPr>
          <w:p w:rsidR="00F660FC" w:rsidRDefault="00F660FC">
            <w:pPr>
              <w:jc w:val="right"/>
              <w:rPr>
                <w:rFonts w:ascii="Arial" w:hAnsi="Arial"/>
                <w:b/>
                <w:bCs/>
                <w:noProof w:val="0"/>
                <w:sz w:val="26"/>
                <w:szCs w:val="26"/>
                <w:rtl/>
              </w:rPr>
            </w:pPr>
          </w:p>
          <w:p w:rsidR="00F660FC" w:rsidRDefault="00F660FC">
            <w:pPr>
              <w:jc w:val="center"/>
              <w:rPr>
                <w:rFonts w:ascii="Arial" w:hAnsi="Arial"/>
                <w:b/>
                <w:bCs/>
                <w:noProof w:val="0"/>
                <w:sz w:val="26"/>
                <w:szCs w:val="26"/>
              </w:rPr>
            </w:pPr>
            <w:r>
              <w:rPr>
                <w:rFonts w:ascii="Arial" w:hAnsi="Arial"/>
                <w:b/>
                <w:bCs/>
                <w:noProof w:val="0"/>
                <w:sz w:val="26"/>
                <w:szCs w:val="26"/>
                <w:rtl/>
              </w:rPr>
              <w:t>נגד</w:t>
            </w:r>
          </w:p>
          <w:p w:rsidR="00F660FC" w:rsidRDefault="00F660FC">
            <w:pPr>
              <w:jc w:val="right"/>
              <w:rPr>
                <w:rFonts w:ascii="Arial" w:hAnsi="Arial"/>
                <w:b/>
                <w:bCs/>
                <w:noProof w:val="0"/>
                <w:sz w:val="26"/>
                <w:szCs w:val="26"/>
                <w:rtl/>
              </w:rPr>
            </w:pPr>
          </w:p>
        </w:tc>
      </w:tr>
      <w:tr w:rsidR="00F660FC" w:rsidTr="00F660FC">
        <w:trPr>
          <w:jc w:val="center"/>
        </w:trPr>
        <w:tc>
          <w:tcPr>
            <w:tcW w:w="3249" w:type="dxa"/>
            <w:gridSpan w:val="2"/>
            <w:hideMark/>
          </w:tcPr>
          <w:p w:rsidR="00F660FC" w:rsidRDefault="00F660FC">
            <w:pPr>
              <w:rPr>
                <w:rFonts w:ascii="Arial" w:hAnsi="Arial"/>
                <w:b/>
                <w:bCs/>
                <w:noProof w:val="0"/>
                <w:sz w:val="26"/>
                <w:szCs w:val="26"/>
                <w:rtl/>
              </w:rPr>
            </w:pPr>
            <w:r>
              <w:rPr>
                <w:rFonts w:ascii="Arial" w:hAnsi="Arial"/>
                <w:b/>
                <w:bCs/>
                <w:noProof w:val="0"/>
                <w:sz w:val="26"/>
                <w:szCs w:val="26"/>
                <w:rtl/>
              </w:rPr>
              <w:t>הנתבעת</w:t>
            </w:r>
          </w:p>
        </w:tc>
        <w:tc>
          <w:tcPr>
            <w:tcW w:w="5571" w:type="dxa"/>
            <w:hideMark/>
          </w:tcPr>
          <w:p w:rsidR="00F660FC" w:rsidRDefault="00EB0545">
            <w:pPr>
              <w:rPr>
                <w:b/>
                <w:bCs/>
                <w:noProof w:val="0"/>
                <w:sz w:val="26"/>
                <w:szCs w:val="26"/>
              </w:rPr>
            </w:pPr>
            <w:r>
              <w:rPr>
                <w:rFonts w:ascii="Arial" w:hAnsi="Arial" w:hint="cs"/>
                <w:b/>
                <w:bCs/>
                <w:noProof w:val="0"/>
                <w:sz w:val="26"/>
                <w:szCs w:val="26"/>
                <w:rtl/>
              </w:rPr>
              <w:t>פלונית</w:t>
            </w:r>
          </w:p>
        </w:tc>
      </w:tr>
    </w:tbl>
    <w:p w:rsidR="00F660FC" w:rsidRDefault="00F660FC" w:rsidP="00F660FC">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F660FC" w:rsidTr="00F660FC">
        <w:trPr>
          <w:jc w:val="center"/>
        </w:trPr>
        <w:tc>
          <w:tcPr>
            <w:tcW w:w="8820" w:type="dxa"/>
            <w:hideMark/>
          </w:tcPr>
          <w:p w:rsidR="00F660FC" w:rsidRDefault="00F660FC">
            <w:pPr>
              <w:bidi w:val="0"/>
              <w:jc w:val="center"/>
              <w:rPr>
                <w:rFonts w:ascii="Arial" w:hAnsi="Arial"/>
                <w:b/>
                <w:bCs/>
                <w:noProof w:val="0"/>
                <w:u w:val="single"/>
              </w:rPr>
            </w:pPr>
            <w:r>
              <w:rPr>
                <w:rFonts w:ascii="Arial" w:hAnsi="Arial"/>
                <w:b/>
                <w:bCs/>
                <w:noProof w:val="0"/>
                <w:u w:val="single"/>
                <w:rtl/>
              </w:rPr>
              <w:t>פסק דין</w:t>
            </w:r>
          </w:p>
        </w:tc>
      </w:tr>
    </w:tbl>
    <w:p w:rsidR="00F660FC" w:rsidRDefault="00F660FC" w:rsidP="00F660FC">
      <w:pPr>
        <w:spacing w:line="360" w:lineRule="auto"/>
        <w:jc w:val="both"/>
        <w:rPr>
          <w:rFonts w:ascii="Arial" w:hAnsi="Arial"/>
          <w:noProof w:val="0"/>
        </w:rPr>
      </w:pPr>
    </w:p>
    <w:p w:rsidR="00F660FC" w:rsidRDefault="00F660FC" w:rsidP="00CE02FA">
      <w:pPr>
        <w:spacing w:line="360" w:lineRule="auto"/>
        <w:jc w:val="both"/>
        <w:rPr>
          <w:rFonts w:ascii="David" w:hAnsi="David"/>
          <w:noProof w:val="0"/>
        </w:rPr>
      </w:pPr>
      <w:r>
        <w:rPr>
          <w:rFonts w:ascii="David" w:hAnsi="David"/>
          <w:noProof w:val="0"/>
          <w:rtl/>
        </w:rPr>
        <w:t xml:space="preserve">לפני  תביעה נזיקית – כספית לחיוב הנתבעת בפיצוי התובע בסך של 200,000 ₪ בגין הפרת עוולת לשון הרע </w:t>
      </w:r>
      <w:r w:rsidR="00CE02FA">
        <w:rPr>
          <w:rFonts w:ascii="David" w:hAnsi="David" w:hint="cs"/>
          <w:noProof w:val="0"/>
          <w:rtl/>
        </w:rPr>
        <w:t xml:space="preserve">על פי חוק איסור לשון הרע , תשכ"ה- 1965 (להלן: </w:t>
      </w:r>
      <w:r w:rsidR="00CE02FA">
        <w:rPr>
          <w:rFonts w:ascii="David" w:hAnsi="David" w:hint="cs"/>
          <w:b/>
          <w:bCs/>
          <w:noProof w:val="0"/>
          <w:rtl/>
        </w:rPr>
        <w:t xml:space="preserve">"חוק לשון הרע " </w:t>
      </w:r>
      <w:r w:rsidR="00CE02FA" w:rsidRPr="00CE02FA">
        <w:rPr>
          <w:rFonts w:ascii="David" w:hAnsi="David" w:hint="cs"/>
          <w:noProof w:val="0"/>
          <w:rtl/>
        </w:rPr>
        <w:t>או</w:t>
      </w:r>
      <w:r w:rsidR="00CE02FA">
        <w:rPr>
          <w:rFonts w:ascii="David" w:hAnsi="David" w:hint="cs"/>
          <w:noProof w:val="0"/>
          <w:rtl/>
        </w:rPr>
        <w:t xml:space="preserve"> "</w:t>
      </w:r>
      <w:r w:rsidR="00CE02FA" w:rsidRPr="00CE02FA">
        <w:rPr>
          <w:rFonts w:ascii="David" w:hAnsi="David" w:hint="cs"/>
          <w:b/>
          <w:bCs/>
          <w:noProof w:val="0"/>
          <w:rtl/>
        </w:rPr>
        <w:t>החוק</w:t>
      </w:r>
      <w:r w:rsidR="00CE02FA">
        <w:rPr>
          <w:rFonts w:ascii="David" w:hAnsi="David" w:hint="cs"/>
          <w:noProof w:val="0"/>
          <w:rtl/>
        </w:rPr>
        <w:t xml:space="preserve">") </w:t>
      </w:r>
      <w:r>
        <w:rPr>
          <w:rFonts w:ascii="David" w:hAnsi="David"/>
          <w:noProof w:val="0"/>
          <w:rtl/>
        </w:rPr>
        <w:t xml:space="preserve">ללא הוכחת נזק.  </w:t>
      </w:r>
    </w:p>
    <w:p w:rsidR="00F660FC" w:rsidRDefault="00F660FC" w:rsidP="00F660FC">
      <w:pPr>
        <w:spacing w:line="360" w:lineRule="auto"/>
        <w:jc w:val="both"/>
        <w:rPr>
          <w:rFonts w:ascii="David" w:hAnsi="David"/>
          <w:b/>
          <w:bCs/>
          <w:noProof w:val="0"/>
          <w:u w:val="single"/>
          <w:rtl/>
        </w:rPr>
      </w:pPr>
    </w:p>
    <w:p w:rsidR="00F660FC" w:rsidRDefault="00F660FC" w:rsidP="00F660FC">
      <w:pPr>
        <w:spacing w:line="360" w:lineRule="auto"/>
        <w:jc w:val="both"/>
        <w:rPr>
          <w:rFonts w:ascii="David" w:hAnsi="David"/>
          <w:b/>
          <w:bCs/>
          <w:noProof w:val="0"/>
          <w:u w:val="single"/>
        </w:rPr>
      </w:pPr>
      <w:r>
        <w:rPr>
          <w:rFonts w:ascii="David" w:hAnsi="David"/>
          <w:b/>
          <w:bCs/>
          <w:noProof w:val="0"/>
          <w:u w:val="single"/>
          <w:rtl/>
        </w:rPr>
        <w:t>רקע עובדתי ודיוני</w:t>
      </w:r>
    </w:p>
    <w:p w:rsidR="00F660FC" w:rsidRDefault="00F660FC" w:rsidP="00F660FC">
      <w:pPr>
        <w:spacing w:line="360" w:lineRule="auto"/>
        <w:jc w:val="both"/>
        <w:rPr>
          <w:rFonts w:ascii="David" w:hAnsi="David"/>
          <w:b/>
          <w:bCs/>
          <w:noProof w:val="0"/>
          <w:u w:val="single"/>
          <w:rtl/>
        </w:rPr>
      </w:pPr>
    </w:p>
    <w:p w:rsidR="00F660FC" w:rsidRDefault="00F660FC" w:rsidP="001F1D68">
      <w:pPr>
        <w:pStyle w:val="ad"/>
        <w:numPr>
          <w:ilvl w:val="0"/>
          <w:numId w:val="1"/>
        </w:numPr>
        <w:spacing w:line="360" w:lineRule="auto"/>
        <w:ind w:left="567" w:hanging="567"/>
        <w:jc w:val="both"/>
        <w:rPr>
          <w:rFonts w:ascii="David" w:hAnsi="David"/>
          <w:b/>
          <w:bCs/>
          <w:noProof w:val="0"/>
          <w:u w:val="single"/>
          <w:rtl/>
        </w:rPr>
      </w:pPr>
      <w:r>
        <w:rPr>
          <w:rFonts w:ascii="David" w:hAnsi="David"/>
          <w:noProof w:val="0"/>
          <w:rtl/>
        </w:rPr>
        <w:t xml:space="preserve">הצדדים בני זוג לשעבר, הורים לקטין כבן 9 שנים במועד זה. </w:t>
      </w:r>
    </w:p>
    <w:p w:rsidR="00F660FC" w:rsidRDefault="00F660FC" w:rsidP="0071078D">
      <w:pPr>
        <w:pStyle w:val="ad"/>
        <w:spacing w:line="360" w:lineRule="auto"/>
        <w:ind w:left="567"/>
        <w:jc w:val="both"/>
        <w:rPr>
          <w:rFonts w:ascii="David" w:hAnsi="David"/>
          <w:b/>
          <w:bCs/>
          <w:noProof w:val="0"/>
          <w:u w:val="single"/>
          <w:rtl/>
        </w:rPr>
      </w:pPr>
    </w:p>
    <w:p w:rsidR="00F660FC" w:rsidRDefault="00F660FC" w:rsidP="001F1D68">
      <w:pPr>
        <w:pStyle w:val="ad"/>
        <w:numPr>
          <w:ilvl w:val="0"/>
          <w:numId w:val="1"/>
        </w:numPr>
        <w:spacing w:line="360" w:lineRule="auto"/>
        <w:ind w:left="567" w:hanging="567"/>
        <w:jc w:val="both"/>
        <w:rPr>
          <w:rFonts w:ascii="David" w:hAnsi="David"/>
          <w:noProof w:val="0"/>
        </w:rPr>
      </w:pPr>
      <w:r>
        <w:rPr>
          <w:rFonts w:ascii="David" w:hAnsi="David"/>
          <w:noProof w:val="0"/>
          <w:rtl/>
        </w:rPr>
        <w:t>עובר להגשת תביעה זו הצדדים ניהלו מספר הליכים בבית משפט זה שעיקרם צווי הגנה והליכי י"ס. כמו כן זה מכבר ניתן פס"ד בעתירת הנתבעת כאן בגין הפרת עוולת לשון הר</w:t>
      </w:r>
      <w:r w:rsidR="002F4FFD">
        <w:rPr>
          <w:rFonts w:ascii="David" w:hAnsi="David"/>
          <w:noProof w:val="0"/>
          <w:rtl/>
        </w:rPr>
        <w:t>ע כנגד התובע (תמ"ש 26759-04-22)</w:t>
      </w:r>
      <w:r w:rsidR="002F4FFD">
        <w:rPr>
          <w:rFonts w:ascii="David" w:hAnsi="David" w:hint="cs"/>
          <w:noProof w:val="0"/>
          <w:rtl/>
        </w:rPr>
        <w:t xml:space="preserve"> </w:t>
      </w:r>
      <w:r w:rsidR="0071078D">
        <w:rPr>
          <w:rFonts w:ascii="David" w:hAnsi="David" w:hint="cs"/>
          <w:noProof w:val="0"/>
          <w:rtl/>
        </w:rPr>
        <w:t>.</w:t>
      </w:r>
    </w:p>
    <w:p w:rsidR="0071078D" w:rsidRPr="0071078D" w:rsidRDefault="0071078D" w:rsidP="0071078D">
      <w:pPr>
        <w:pStyle w:val="ad"/>
        <w:ind w:left="567"/>
        <w:rPr>
          <w:rFonts w:ascii="David" w:hAnsi="David"/>
          <w:noProof w:val="0"/>
          <w:rtl/>
        </w:rPr>
      </w:pPr>
    </w:p>
    <w:p w:rsidR="00F660FC" w:rsidRDefault="00F660FC" w:rsidP="001F1D68">
      <w:pPr>
        <w:pStyle w:val="ad"/>
        <w:numPr>
          <w:ilvl w:val="0"/>
          <w:numId w:val="1"/>
        </w:numPr>
        <w:spacing w:line="360" w:lineRule="auto"/>
        <w:ind w:left="567" w:hanging="567"/>
        <w:jc w:val="both"/>
        <w:rPr>
          <w:rFonts w:ascii="David" w:hAnsi="David"/>
          <w:noProof w:val="0"/>
        </w:rPr>
      </w:pPr>
      <w:r>
        <w:rPr>
          <w:rFonts w:ascii="David" w:hAnsi="David"/>
          <w:noProof w:val="0"/>
          <w:rtl/>
        </w:rPr>
        <w:t>מכלל טענות הצדדים בהליך זה ובהליכים הקשורים עולה כי מתנהלים/נוהלו הליכים בבית הדין הרבני גם וביחס לקטין.</w:t>
      </w:r>
    </w:p>
    <w:p w:rsidR="00F660FC" w:rsidRDefault="00F660FC" w:rsidP="00F660FC">
      <w:pPr>
        <w:pStyle w:val="ad"/>
        <w:spacing w:line="360" w:lineRule="auto"/>
        <w:rPr>
          <w:rFonts w:ascii="David" w:hAnsi="David"/>
          <w:noProof w:val="0"/>
          <w:rtl/>
        </w:rPr>
      </w:pPr>
    </w:p>
    <w:p w:rsidR="00F660FC" w:rsidRDefault="002D6F33" w:rsidP="009E31C9">
      <w:pPr>
        <w:pStyle w:val="ad"/>
        <w:numPr>
          <w:ilvl w:val="0"/>
          <w:numId w:val="1"/>
        </w:numPr>
        <w:spacing w:line="360" w:lineRule="auto"/>
        <w:ind w:left="567" w:hanging="567"/>
        <w:jc w:val="both"/>
        <w:rPr>
          <w:rFonts w:ascii="Arial" w:hAnsi="Arial"/>
          <w:noProof w:val="0"/>
        </w:rPr>
      </w:pPr>
      <w:r>
        <w:rPr>
          <w:rFonts w:ascii="David" w:hAnsi="David"/>
          <w:noProof w:val="0"/>
          <w:rtl/>
        </w:rPr>
        <w:lastRenderedPageBreak/>
        <w:t>על פי הנטען בתביעה</w:t>
      </w:r>
      <w:r>
        <w:rPr>
          <w:rFonts w:ascii="David" w:hAnsi="David" w:hint="cs"/>
          <w:noProof w:val="0"/>
          <w:rtl/>
        </w:rPr>
        <w:t xml:space="preserve">, </w:t>
      </w:r>
      <w:r w:rsidR="00F660FC">
        <w:rPr>
          <w:rFonts w:ascii="David" w:hAnsi="David"/>
          <w:noProof w:val="0"/>
          <w:rtl/>
        </w:rPr>
        <w:t xml:space="preserve">הנתבעת הגישה מס' תלונות למשטרת ישראל כנגד התובע שעניינן, בין היתר, במעשה מגונה כלפי הקטין, איומים, </w:t>
      </w:r>
      <w:r w:rsidR="009E31C9">
        <w:rPr>
          <w:rFonts w:ascii="David" w:hAnsi="David" w:hint="cs"/>
          <w:noProof w:val="0"/>
          <w:rtl/>
        </w:rPr>
        <w:t>ו</w:t>
      </w:r>
      <w:r w:rsidR="00F660FC">
        <w:rPr>
          <w:rFonts w:ascii="David" w:hAnsi="David"/>
          <w:noProof w:val="0"/>
          <w:rtl/>
        </w:rPr>
        <w:t>הפרת הוראה חוקית אגב יישום זמני השהות של התובע עם הקטין.</w:t>
      </w:r>
    </w:p>
    <w:p w:rsidR="00F660FC" w:rsidRDefault="00F660FC" w:rsidP="0071078D">
      <w:pPr>
        <w:pStyle w:val="ad"/>
        <w:ind w:left="567" w:hanging="567"/>
        <w:rPr>
          <w:rFonts w:ascii="Arial" w:hAnsi="Arial"/>
          <w:noProof w:val="0"/>
          <w:rtl/>
        </w:rPr>
      </w:pPr>
    </w:p>
    <w:p w:rsidR="00F660FC" w:rsidRDefault="00F660FC" w:rsidP="0071078D">
      <w:pPr>
        <w:pStyle w:val="ad"/>
        <w:numPr>
          <w:ilvl w:val="0"/>
          <w:numId w:val="1"/>
        </w:numPr>
        <w:spacing w:line="360" w:lineRule="auto"/>
        <w:ind w:left="567" w:hanging="567"/>
        <w:jc w:val="both"/>
        <w:rPr>
          <w:rFonts w:ascii="Arial" w:hAnsi="Arial"/>
          <w:noProof w:val="0"/>
        </w:rPr>
      </w:pPr>
      <w:r>
        <w:rPr>
          <w:rFonts w:ascii="Arial" w:hAnsi="Arial"/>
          <w:noProof w:val="0"/>
          <w:rtl/>
        </w:rPr>
        <w:t>לטענת התובע מדובר בתלונות שווא אשר הובילו לחקירתו במשטרה תוך שנגרם לו מפח נפש גדול כאשר כל התלונות נסגרו לבסוף ללא הגשת כתב אישום.</w:t>
      </w:r>
    </w:p>
    <w:p w:rsidR="00F660FC" w:rsidRDefault="00F660FC" w:rsidP="00F660FC">
      <w:pPr>
        <w:pStyle w:val="ad"/>
        <w:ind w:left="567" w:hanging="567"/>
        <w:rPr>
          <w:rFonts w:ascii="Arial" w:hAnsi="Arial"/>
          <w:noProof w:val="0"/>
          <w:rtl/>
        </w:rPr>
      </w:pPr>
    </w:p>
    <w:p w:rsidR="00F660FC" w:rsidRDefault="00F660FC" w:rsidP="00F660FC">
      <w:pPr>
        <w:pStyle w:val="ad"/>
        <w:numPr>
          <w:ilvl w:val="0"/>
          <w:numId w:val="1"/>
        </w:numPr>
        <w:spacing w:line="360" w:lineRule="auto"/>
        <w:ind w:left="567" w:hanging="567"/>
        <w:jc w:val="both"/>
        <w:rPr>
          <w:rFonts w:ascii="Arial" w:hAnsi="Arial"/>
          <w:noProof w:val="0"/>
        </w:rPr>
      </w:pPr>
      <w:r>
        <w:rPr>
          <w:rFonts w:ascii="Arial" w:hAnsi="Arial"/>
          <w:noProof w:val="0"/>
          <w:rtl/>
        </w:rPr>
        <w:t>דיון לשמיעת ראיות התקיים ביום 20.9.23 במסגרתו נשמעו עדויות הצדדים עצמם. הצדדים סיכמו טענותיהם בעל פה בתום הדיון.</w:t>
      </w:r>
    </w:p>
    <w:p w:rsidR="00F660FC" w:rsidRDefault="00F660FC" w:rsidP="00F660FC">
      <w:pPr>
        <w:pStyle w:val="ad"/>
        <w:spacing w:line="360" w:lineRule="auto"/>
        <w:ind w:left="567" w:hanging="567"/>
        <w:jc w:val="both"/>
        <w:rPr>
          <w:rFonts w:ascii="Arial" w:hAnsi="Arial"/>
          <w:noProof w:val="0"/>
          <w:rtl/>
        </w:rPr>
      </w:pPr>
    </w:p>
    <w:p w:rsidR="00F660FC" w:rsidRDefault="00F660FC" w:rsidP="00F660FC">
      <w:pPr>
        <w:pStyle w:val="ad"/>
        <w:spacing w:line="360" w:lineRule="auto"/>
        <w:ind w:left="567" w:hanging="567"/>
        <w:jc w:val="both"/>
        <w:rPr>
          <w:rFonts w:ascii="Arial" w:hAnsi="Arial"/>
          <w:b/>
          <w:bCs/>
          <w:noProof w:val="0"/>
          <w:u w:val="single"/>
        </w:rPr>
      </w:pPr>
    </w:p>
    <w:p w:rsidR="00F660FC" w:rsidRDefault="00F660FC" w:rsidP="00F660FC">
      <w:pPr>
        <w:pStyle w:val="ad"/>
        <w:spacing w:line="360" w:lineRule="auto"/>
        <w:ind w:left="567" w:hanging="567"/>
        <w:jc w:val="both"/>
        <w:rPr>
          <w:rFonts w:ascii="Arial" w:hAnsi="Arial"/>
          <w:b/>
          <w:bCs/>
          <w:noProof w:val="0"/>
          <w:u w:val="single"/>
          <w:rtl/>
        </w:rPr>
      </w:pPr>
      <w:r>
        <w:rPr>
          <w:rFonts w:ascii="Arial" w:hAnsi="Arial"/>
          <w:b/>
          <w:bCs/>
          <w:noProof w:val="0"/>
          <w:u w:val="single"/>
          <w:rtl/>
        </w:rPr>
        <w:t>טענות התובע בתמצית:</w:t>
      </w:r>
    </w:p>
    <w:p w:rsidR="00F660FC" w:rsidRDefault="00F660FC" w:rsidP="00F660FC">
      <w:pPr>
        <w:pStyle w:val="ad"/>
        <w:numPr>
          <w:ilvl w:val="0"/>
          <w:numId w:val="1"/>
        </w:numPr>
        <w:spacing w:line="360" w:lineRule="auto"/>
        <w:ind w:left="567" w:hanging="567"/>
        <w:jc w:val="both"/>
        <w:rPr>
          <w:rFonts w:ascii="Arial" w:hAnsi="Arial"/>
          <w:noProof w:val="0"/>
          <w:rtl/>
        </w:rPr>
      </w:pPr>
      <w:r>
        <w:rPr>
          <w:rFonts w:ascii="Arial" w:hAnsi="Arial"/>
          <w:noProof w:val="0"/>
          <w:rtl/>
        </w:rPr>
        <w:t>מאז פרידת הצדדים התובע חווה רדיפה והתעללות מצד הנתבעת אשר מתעקשת לגרום לניכור הורי, מונעת מהתובע את זמני השהות הקבועים לו, מעלילה עליו עלילות שווא ומתלוננת נגדו במשטרה באופן תדיר.</w:t>
      </w:r>
    </w:p>
    <w:p w:rsidR="00F660FC" w:rsidRDefault="00F660FC" w:rsidP="00F660FC">
      <w:pPr>
        <w:pStyle w:val="ad"/>
        <w:spacing w:line="360" w:lineRule="auto"/>
        <w:ind w:left="567" w:hanging="567"/>
        <w:jc w:val="both"/>
        <w:rPr>
          <w:rFonts w:ascii="Arial" w:hAnsi="Arial"/>
          <w:noProof w:val="0"/>
          <w:rtl/>
        </w:rPr>
      </w:pPr>
    </w:p>
    <w:p w:rsidR="00F660FC" w:rsidRDefault="00F660FC" w:rsidP="00F660FC">
      <w:pPr>
        <w:pStyle w:val="ad"/>
        <w:numPr>
          <w:ilvl w:val="0"/>
          <w:numId w:val="1"/>
        </w:numPr>
        <w:spacing w:line="360" w:lineRule="auto"/>
        <w:ind w:left="567" w:hanging="567"/>
        <w:jc w:val="both"/>
        <w:rPr>
          <w:rFonts w:ascii="Arial" w:hAnsi="Arial"/>
          <w:noProof w:val="0"/>
        </w:rPr>
      </w:pPr>
      <w:r>
        <w:rPr>
          <w:rFonts w:ascii="Arial" w:hAnsi="Arial"/>
          <w:noProof w:val="0"/>
          <w:rtl/>
        </w:rPr>
        <w:t>הנתבעת מנהלת הליכי סרק הנוגעים לקטין ללא ידיעת התובע ובמטרה לשלול את מעמדו כאפוטרופוס טבעי של בנו.</w:t>
      </w:r>
    </w:p>
    <w:p w:rsidR="00F660FC" w:rsidRDefault="00F660FC" w:rsidP="00F660FC">
      <w:pPr>
        <w:pStyle w:val="ad"/>
        <w:ind w:left="567" w:hanging="567"/>
        <w:rPr>
          <w:rFonts w:ascii="Arial" w:hAnsi="Arial"/>
          <w:noProof w:val="0"/>
        </w:rPr>
      </w:pPr>
    </w:p>
    <w:p w:rsidR="00F660FC" w:rsidRDefault="00F660FC" w:rsidP="00F660FC">
      <w:pPr>
        <w:pStyle w:val="ad"/>
        <w:numPr>
          <w:ilvl w:val="0"/>
          <w:numId w:val="1"/>
        </w:numPr>
        <w:spacing w:line="360" w:lineRule="auto"/>
        <w:ind w:left="567" w:hanging="567"/>
        <w:jc w:val="both"/>
        <w:rPr>
          <w:rFonts w:ascii="Arial" w:hAnsi="Arial"/>
          <w:noProof w:val="0"/>
        </w:rPr>
      </w:pPr>
      <w:r>
        <w:rPr>
          <w:rFonts w:ascii="Arial" w:hAnsi="Arial"/>
          <w:noProof w:val="0"/>
          <w:rtl/>
        </w:rPr>
        <w:t>התובע ניסה לאכוף ככל יכולתו את זמני השהייה ואף הגיש אין ספור תלונות במשטרה בגין הפרת הוראה חוקית אך ללא הועיל.</w:t>
      </w:r>
    </w:p>
    <w:p w:rsidR="00F660FC" w:rsidRDefault="00F660FC" w:rsidP="00F660FC">
      <w:pPr>
        <w:pStyle w:val="ad"/>
        <w:ind w:left="567" w:hanging="567"/>
        <w:rPr>
          <w:rFonts w:ascii="Arial" w:hAnsi="Arial"/>
          <w:noProof w:val="0"/>
          <w:rtl/>
        </w:rPr>
      </w:pPr>
    </w:p>
    <w:p w:rsidR="00F660FC" w:rsidRDefault="00F660FC" w:rsidP="00F660FC">
      <w:pPr>
        <w:pStyle w:val="ad"/>
        <w:numPr>
          <w:ilvl w:val="0"/>
          <w:numId w:val="1"/>
        </w:numPr>
        <w:spacing w:line="360" w:lineRule="auto"/>
        <w:ind w:left="567" w:hanging="567"/>
        <w:jc w:val="both"/>
        <w:rPr>
          <w:rFonts w:ascii="Arial" w:hAnsi="Arial"/>
          <w:noProof w:val="0"/>
        </w:rPr>
      </w:pPr>
      <w:r>
        <w:rPr>
          <w:rFonts w:ascii="Arial" w:hAnsi="Arial"/>
          <w:noProof w:val="0"/>
          <w:rtl/>
        </w:rPr>
        <w:t>הנתבעת פועלת באופן אקטיבי להכפיש את שמו של התובע, בין היתר בהגשת תלונות שווא במשטרה, כולם נסגרו מחוסר ראיות ואף לגבי חלקם צוין כי היו פרי ידיעה כוזבת של עבירה. הנתבעת פרסמה את כל הדברים שהעלילה עליו ברבים על מנת לשים אותו לבוז ולקלס ולהשפילו בפני בני משפחה ומכרים.</w:t>
      </w:r>
    </w:p>
    <w:p w:rsidR="00F660FC" w:rsidRDefault="00F660FC" w:rsidP="00F660FC">
      <w:pPr>
        <w:pStyle w:val="ad"/>
        <w:ind w:left="567" w:hanging="567"/>
        <w:rPr>
          <w:rFonts w:ascii="Arial" w:hAnsi="Arial"/>
          <w:noProof w:val="0"/>
          <w:rtl/>
        </w:rPr>
      </w:pPr>
    </w:p>
    <w:p w:rsidR="00F660FC" w:rsidRDefault="00F660FC" w:rsidP="00F660FC">
      <w:pPr>
        <w:pStyle w:val="ad"/>
        <w:numPr>
          <w:ilvl w:val="0"/>
          <w:numId w:val="1"/>
        </w:numPr>
        <w:spacing w:line="360" w:lineRule="auto"/>
        <w:ind w:left="567" w:hanging="567"/>
        <w:jc w:val="both"/>
        <w:rPr>
          <w:rFonts w:ascii="Arial" w:hAnsi="Arial"/>
          <w:noProof w:val="0"/>
        </w:rPr>
      </w:pPr>
      <w:r>
        <w:rPr>
          <w:rFonts w:ascii="Arial" w:hAnsi="Arial"/>
          <w:noProof w:val="0"/>
          <w:rtl/>
        </w:rPr>
        <w:t>פעולותיה של הנתבעת עולות כדי פרסום לשון הרע על פי חוק איסור לשון הרע, התשכ"א - 1965, שמו הטוב נפגע מאישומים פליליים והכל על לא עוול בכפו.</w:t>
      </w:r>
    </w:p>
    <w:p w:rsidR="00F660FC" w:rsidRDefault="00F660FC" w:rsidP="00F660FC">
      <w:pPr>
        <w:pStyle w:val="ad"/>
        <w:ind w:left="567" w:hanging="567"/>
        <w:rPr>
          <w:rFonts w:ascii="Arial" w:hAnsi="Arial"/>
          <w:noProof w:val="0"/>
          <w:rtl/>
        </w:rPr>
      </w:pPr>
    </w:p>
    <w:p w:rsidR="00F660FC" w:rsidRDefault="00F660FC" w:rsidP="00F660FC">
      <w:pPr>
        <w:pStyle w:val="ad"/>
        <w:numPr>
          <w:ilvl w:val="0"/>
          <w:numId w:val="1"/>
        </w:numPr>
        <w:spacing w:line="360" w:lineRule="auto"/>
        <w:ind w:left="567" w:hanging="567"/>
        <w:jc w:val="both"/>
        <w:rPr>
          <w:rFonts w:ascii="Arial" w:hAnsi="Arial"/>
          <w:noProof w:val="0"/>
        </w:rPr>
      </w:pPr>
      <w:r>
        <w:rPr>
          <w:rFonts w:ascii="Arial" w:hAnsi="Arial"/>
          <w:noProof w:val="0"/>
          <w:rtl/>
        </w:rPr>
        <w:t xml:space="preserve">התובע זכאי לכפל פיצוי בהתאם להוראות סע' 7(א) לחוק לשון הרע שכן אין בהגשת התלונות אלא משום רצון מכוון לפגוע בשמו הטוב. </w:t>
      </w:r>
    </w:p>
    <w:p w:rsidR="00F660FC" w:rsidRDefault="00F660FC" w:rsidP="00F660FC">
      <w:pPr>
        <w:pStyle w:val="ad"/>
        <w:ind w:left="567" w:hanging="567"/>
        <w:rPr>
          <w:rFonts w:ascii="Arial" w:hAnsi="Arial"/>
          <w:noProof w:val="0"/>
          <w:rtl/>
        </w:rPr>
      </w:pPr>
    </w:p>
    <w:p w:rsidR="00F660FC" w:rsidRDefault="00F660FC" w:rsidP="00F660FC">
      <w:pPr>
        <w:pStyle w:val="ad"/>
        <w:numPr>
          <w:ilvl w:val="0"/>
          <w:numId w:val="1"/>
        </w:numPr>
        <w:spacing w:line="360" w:lineRule="auto"/>
        <w:ind w:left="567" w:hanging="567"/>
        <w:jc w:val="both"/>
        <w:rPr>
          <w:rFonts w:ascii="Arial" w:hAnsi="Arial"/>
          <w:noProof w:val="0"/>
        </w:rPr>
      </w:pPr>
      <w:r>
        <w:rPr>
          <w:rFonts w:ascii="Arial" w:hAnsi="Arial"/>
          <w:noProof w:val="0"/>
          <w:rtl/>
        </w:rPr>
        <w:t>התובע מעמיד את שיעור הפיצוי בגין 11 הליכים בהם נקטה הנתבעת על סך 200,000 ₪ בלבד וזאת לצורכי אגרה.</w:t>
      </w:r>
    </w:p>
    <w:p w:rsidR="00F660FC" w:rsidRDefault="00F660FC" w:rsidP="00F660FC">
      <w:pPr>
        <w:pStyle w:val="ad"/>
        <w:ind w:left="567" w:hanging="567"/>
        <w:rPr>
          <w:rFonts w:ascii="Arial" w:hAnsi="Arial"/>
          <w:noProof w:val="0"/>
          <w:rtl/>
        </w:rPr>
      </w:pPr>
    </w:p>
    <w:p w:rsidR="00F660FC" w:rsidRDefault="00F660FC" w:rsidP="00F660FC">
      <w:pPr>
        <w:pStyle w:val="ad"/>
        <w:ind w:left="567" w:hanging="567"/>
        <w:rPr>
          <w:rFonts w:ascii="Arial" w:hAnsi="Arial"/>
          <w:b/>
          <w:bCs/>
          <w:noProof w:val="0"/>
          <w:u w:val="single"/>
        </w:rPr>
      </w:pPr>
      <w:r>
        <w:rPr>
          <w:rFonts w:ascii="Arial" w:hAnsi="Arial"/>
          <w:b/>
          <w:bCs/>
          <w:noProof w:val="0"/>
          <w:u w:val="single"/>
          <w:rtl/>
        </w:rPr>
        <w:t>טענות הנתבעת בתמצית</w:t>
      </w:r>
    </w:p>
    <w:p w:rsidR="00F660FC" w:rsidRDefault="00F660FC" w:rsidP="00F660FC">
      <w:pPr>
        <w:pStyle w:val="ad"/>
        <w:ind w:left="567" w:hanging="567"/>
        <w:rPr>
          <w:rFonts w:ascii="Arial" w:hAnsi="Arial"/>
          <w:b/>
          <w:bCs/>
          <w:noProof w:val="0"/>
          <w:u w:val="single"/>
          <w:rtl/>
        </w:rPr>
      </w:pPr>
    </w:p>
    <w:p w:rsidR="00F660FC" w:rsidRDefault="00F660FC" w:rsidP="002D6F33">
      <w:pPr>
        <w:pStyle w:val="ad"/>
        <w:numPr>
          <w:ilvl w:val="0"/>
          <w:numId w:val="1"/>
        </w:numPr>
        <w:spacing w:line="360" w:lineRule="auto"/>
        <w:ind w:left="567" w:hanging="567"/>
        <w:jc w:val="both"/>
        <w:rPr>
          <w:rFonts w:ascii="Arial" w:hAnsi="Arial"/>
          <w:noProof w:val="0"/>
          <w:rtl/>
        </w:rPr>
      </w:pPr>
      <w:r>
        <w:rPr>
          <w:rFonts w:ascii="Arial" w:hAnsi="Arial"/>
          <w:noProof w:val="0"/>
          <w:rtl/>
        </w:rPr>
        <w:t>מדובר בתביעה קנטרנית וטורדנית אשר הוגשה בחוסר תום לב תוך הצגת מצג כוזב לפיו נגרם לתובע נזק</w:t>
      </w:r>
      <w:r w:rsidR="002D6F33">
        <w:rPr>
          <w:rFonts w:ascii="Arial" w:hAnsi="Arial" w:hint="cs"/>
          <w:noProof w:val="0"/>
          <w:rtl/>
        </w:rPr>
        <w:t>,</w:t>
      </w:r>
      <w:r>
        <w:rPr>
          <w:rFonts w:ascii="Arial" w:hAnsi="Arial"/>
          <w:noProof w:val="0"/>
          <w:rtl/>
        </w:rPr>
        <w:t xml:space="preserve"> בעוד שבפועל היה זה התובע אשר במעשיו הפר פעם אחר פעם את הוראות הסכם הגירושין משל היו בבחינת המלצה ופעל מול הנתבעת וילדם המשותף בבריונות ומסוכנות.</w:t>
      </w:r>
    </w:p>
    <w:p w:rsidR="00F660FC" w:rsidRDefault="00F660FC" w:rsidP="00F660FC">
      <w:pPr>
        <w:pStyle w:val="ad"/>
        <w:spacing w:line="360" w:lineRule="auto"/>
        <w:ind w:left="567" w:hanging="567"/>
        <w:jc w:val="both"/>
        <w:rPr>
          <w:rFonts w:ascii="Arial" w:hAnsi="Arial"/>
          <w:noProof w:val="0"/>
          <w:rtl/>
        </w:rPr>
      </w:pPr>
    </w:p>
    <w:p w:rsidR="00F660FC" w:rsidRDefault="00F660FC" w:rsidP="00F660FC">
      <w:pPr>
        <w:pStyle w:val="ad"/>
        <w:numPr>
          <w:ilvl w:val="0"/>
          <w:numId w:val="1"/>
        </w:numPr>
        <w:spacing w:line="360" w:lineRule="auto"/>
        <w:ind w:left="567" w:hanging="567"/>
        <w:jc w:val="both"/>
        <w:rPr>
          <w:rFonts w:ascii="Arial" w:hAnsi="Arial"/>
          <w:noProof w:val="0"/>
        </w:rPr>
      </w:pPr>
      <w:r>
        <w:rPr>
          <w:rFonts w:ascii="Arial" w:hAnsi="Arial"/>
          <w:noProof w:val="0"/>
          <w:rtl/>
        </w:rPr>
        <w:t xml:space="preserve">די בעובדה כי כל התיקים נגד התובע נסגרו מחוסר ראיות ולא חוסר אשמה, כדי ללמד כי היה ממש בטענות הנתבעת. </w:t>
      </w:r>
    </w:p>
    <w:p w:rsidR="00F660FC" w:rsidRDefault="00F660FC" w:rsidP="00F660FC">
      <w:pPr>
        <w:pStyle w:val="ad"/>
        <w:ind w:left="567" w:hanging="567"/>
        <w:rPr>
          <w:rFonts w:ascii="Arial" w:hAnsi="Arial"/>
          <w:noProof w:val="0"/>
        </w:rPr>
      </w:pPr>
    </w:p>
    <w:p w:rsidR="00F660FC" w:rsidRDefault="00F660FC" w:rsidP="00F660FC">
      <w:pPr>
        <w:pStyle w:val="ad"/>
        <w:numPr>
          <w:ilvl w:val="0"/>
          <w:numId w:val="1"/>
        </w:numPr>
        <w:spacing w:line="360" w:lineRule="auto"/>
        <w:ind w:left="567" w:hanging="567"/>
        <w:jc w:val="both"/>
        <w:rPr>
          <w:rFonts w:ascii="Arial" w:hAnsi="Arial"/>
          <w:noProof w:val="0"/>
        </w:rPr>
      </w:pPr>
      <w:r>
        <w:rPr>
          <w:rFonts w:ascii="Arial" w:hAnsi="Arial"/>
          <w:noProof w:val="0"/>
          <w:rtl/>
        </w:rPr>
        <w:t>לנתבעת עומדת הגנה מכוח סע' 15(8)</w:t>
      </w:r>
      <w:r>
        <w:rPr>
          <w:rFonts w:ascii="Arial" w:hAnsi="Arial"/>
          <w:noProof w:val="0"/>
        </w:rPr>
        <w:t xml:space="preserve"> </w:t>
      </w:r>
      <w:r>
        <w:rPr>
          <w:rFonts w:ascii="Arial" w:hAnsi="Arial"/>
          <w:noProof w:val="0"/>
          <w:rtl/>
        </w:rPr>
        <w:t>לחוק איסור לשון הרע וזאת בשים לב כי הפרסום היה בהגשת תלונה לרשות המוסמכת לקבל תלונות או</w:t>
      </w:r>
      <w:r w:rsidR="002D6F33">
        <w:rPr>
          <w:rFonts w:ascii="Arial" w:hAnsi="Arial"/>
          <w:noProof w:val="0"/>
          <w:rtl/>
        </w:rPr>
        <w:t xml:space="preserve"> לחקור בעניין המשמש נושא התלונה</w:t>
      </w:r>
      <w:r w:rsidR="002D6F33">
        <w:rPr>
          <w:rFonts w:ascii="Arial" w:hAnsi="Arial" w:hint="cs"/>
          <w:noProof w:val="0"/>
          <w:rtl/>
        </w:rPr>
        <w:t>,</w:t>
      </w:r>
      <w:r>
        <w:rPr>
          <w:rFonts w:ascii="Arial" w:hAnsi="Arial"/>
          <w:noProof w:val="0"/>
          <w:rtl/>
        </w:rPr>
        <w:t xml:space="preserve"> לא כל שכן קמה לנתבעת הגנה מכוח סע' 14 לחוק היות והפרסום הינו אמת לאמיתה. </w:t>
      </w:r>
    </w:p>
    <w:p w:rsidR="00F660FC" w:rsidRDefault="00F660FC" w:rsidP="00F660FC">
      <w:pPr>
        <w:pStyle w:val="ad"/>
        <w:ind w:left="567" w:hanging="567"/>
        <w:rPr>
          <w:rFonts w:ascii="Arial" w:hAnsi="Arial"/>
          <w:noProof w:val="0"/>
          <w:rtl/>
        </w:rPr>
      </w:pPr>
    </w:p>
    <w:p w:rsidR="00F660FC" w:rsidRDefault="00F660FC" w:rsidP="00F660FC">
      <w:pPr>
        <w:pStyle w:val="ad"/>
        <w:numPr>
          <w:ilvl w:val="0"/>
          <w:numId w:val="1"/>
        </w:numPr>
        <w:spacing w:line="360" w:lineRule="auto"/>
        <w:ind w:left="567" w:hanging="567"/>
        <w:jc w:val="both"/>
        <w:rPr>
          <w:rFonts w:ascii="Arial" w:hAnsi="Arial"/>
          <w:noProof w:val="0"/>
        </w:rPr>
      </w:pPr>
      <w:r>
        <w:rPr>
          <w:rFonts w:ascii="Arial" w:hAnsi="Arial"/>
          <w:noProof w:val="0"/>
          <w:rtl/>
        </w:rPr>
        <w:t>אין חולק כי לאור גירושי הצדדים עמדו ביניהם מחלוקות רבות, עם זאת הנתבעת מעולם לא פנתה למשטרה כדי לייצר יתרון דיוני כזה או אחר, אלא אך בפעמים בהם הפר התובע את הוראות ההסכם באופן בוטה או כאשר חשה מסוכנות לה ולילדם המשותף.</w:t>
      </w:r>
    </w:p>
    <w:p w:rsidR="00F660FC" w:rsidRDefault="00F660FC" w:rsidP="00F660FC">
      <w:pPr>
        <w:pStyle w:val="ad"/>
        <w:ind w:left="567" w:hanging="567"/>
        <w:rPr>
          <w:rFonts w:ascii="Arial" w:hAnsi="Arial"/>
          <w:noProof w:val="0"/>
          <w:rtl/>
        </w:rPr>
      </w:pPr>
    </w:p>
    <w:p w:rsidR="00F660FC" w:rsidRDefault="00F660FC" w:rsidP="00B3531F">
      <w:pPr>
        <w:pStyle w:val="ad"/>
        <w:numPr>
          <w:ilvl w:val="0"/>
          <w:numId w:val="1"/>
        </w:numPr>
        <w:spacing w:line="360" w:lineRule="auto"/>
        <w:ind w:left="567" w:hanging="567"/>
        <w:jc w:val="both"/>
        <w:rPr>
          <w:rFonts w:ascii="Arial" w:hAnsi="Arial"/>
          <w:noProof w:val="0"/>
        </w:rPr>
      </w:pPr>
      <w:r>
        <w:rPr>
          <w:rFonts w:ascii="Arial" w:hAnsi="Arial"/>
          <w:noProof w:val="0"/>
          <w:rtl/>
        </w:rPr>
        <w:t xml:space="preserve">הנתבעת תבהיר כי עת הגישה נגד התובע תלונה בגין מעשים מגונים, עשתה כן בהתאם למה שסיפר לה הקטין, כאשר לימים עניין זה התברר כנכון במסגרת דוח מסכם אשר הוגש ע"י פסיכולוגית , הגב' </w:t>
      </w:r>
      <w:r w:rsidR="00B3531F">
        <w:rPr>
          <w:rFonts w:ascii="Arial" w:hAnsi="Arial" w:hint="cs"/>
          <w:noProof w:val="0"/>
          <w:rtl/>
        </w:rPr>
        <w:t>***</w:t>
      </w:r>
      <w:r>
        <w:rPr>
          <w:rFonts w:ascii="Arial" w:hAnsi="Arial"/>
          <w:noProof w:val="0"/>
          <w:rtl/>
        </w:rPr>
        <w:t xml:space="preserve"> בה צוינו מחשבות טורדניות של הקטין שביטאו וכללו תכנים בעלי גוון מיני.</w:t>
      </w:r>
    </w:p>
    <w:p w:rsidR="00F660FC" w:rsidRDefault="00F660FC" w:rsidP="00F660FC">
      <w:pPr>
        <w:pStyle w:val="ad"/>
        <w:ind w:left="567" w:hanging="567"/>
        <w:rPr>
          <w:rFonts w:ascii="Arial" w:hAnsi="Arial"/>
          <w:noProof w:val="0"/>
          <w:rtl/>
        </w:rPr>
      </w:pPr>
    </w:p>
    <w:p w:rsidR="00F660FC" w:rsidRDefault="00F660FC" w:rsidP="00F660FC">
      <w:pPr>
        <w:pStyle w:val="ad"/>
        <w:numPr>
          <w:ilvl w:val="0"/>
          <w:numId w:val="1"/>
        </w:numPr>
        <w:spacing w:line="360" w:lineRule="auto"/>
        <w:ind w:left="567" w:hanging="567"/>
        <w:jc w:val="both"/>
        <w:rPr>
          <w:rFonts w:ascii="Arial" w:hAnsi="Arial"/>
          <w:noProof w:val="0"/>
        </w:rPr>
      </w:pPr>
      <w:r>
        <w:rPr>
          <w:rFonts w:ascii="Arial" w:hAnsi="Arial"/>
          <w:noProof w:val="0"/>
          <w:rtl/>
        </w:rPr>
        <w:t>במסגרת בקשת הנתבעת למתן צו הגנה עבור בנם של הצדדים, הצהיר התובע לפרוטוקול "היה מקרה שהילד הוריד את המכנסיים ורצה לשבת לי על הפנים ודחפתי אותו והורדתי לו את המכנס" (ראה פרוטוקול מיום 29.6.21 בבית הדין הרבני).</w:t>
      </w:r>
    </w:p>
    <w:p w:rsidR="00F660FC" w:rsidRDefault="00F660FC" w:rsidP="00F660FC">
      <w:pPr>
        <w:pStyle w:val="ad"/>
        <w:ind w:left="567" w:hanging="567"/>
        <w:rPr>
          <w:rFonts w:ascii="Arial" w:hAnsi="Arial"/>
          <w:noProof w:val="0"/>
          <w:rtl/>
        </w:rPr>
      </w:pPr>
    </w:p>
    <w:p w:rsidR="00F660FC" w:rsidRDefault="00F660FC" w:rsidP="00F660FC">
      <w:pPr>
        <w:pStyle w:val="ad"/>
        <w:numPr>
          <w:ilvl w:val="0"/>
          <w:numId w:val="1"/>
        </w:numPr>
        <w:spacing w:line="360" w:lineRule="auto"/>
        <w:ind w:left="567" w:hanging="567"/>
        <w:jc w:val="both"/>
        <w:rPr>
          <w:rFonts w:ascii="Arial" w:hAnsi="Arial"/>
          <w:noProof w:val="0"/>
        </w:rPr>
      </w:pPr>
      <w:r>
        <w:rPr>
          <w:rFonts w:ascii="Arial" w:hAnsi="Arial"/>
          <w:noProof w:val="0"/>
          <w:rtl/>
        </w:rPr>
        <w:t xml:space="preserve">מלבד הגשת התלונות לא פרסמה הנתבעת כל פרסום אחר נוסף, אף לא הועלתה טענה כזו במסגרת התביעה. </w:t>
      </w:r>
    </w:p>
    <w:p w:rsidR="00F660FC" w:rsidRDefault="00F660FC" w:rsidP="00F660FC">
      <w:pPr>
        <w:pStyle w:val="ad"/>
        <w:ind w:left="567" w:hanging="567"/>
        <w:rPr>
          <w:rFonts w:ascii="Arial" w:hAnsi="Arial"/>
          <w:noProof w:val="0"/>
          <w:rtl/>
        </w:rPr>
      </w:pPr>
    </w:p>
    <w:p w:rsidR="00F660FC" w:rsidRDefault="00F660FC" w:rsidP="00F660FC">
      <w:pPr>
        <w:pStyle w:val="ad"/>
        <w:numPr>
          <w:ilvl w:val="0"/>
          <w:numId w:val="1"/>
        </w:numPr>
        <w:spacing w:line="360" w:lineRule="auto"/>
        <w:ind w:left="567" w:hanging="567"/>
        <w:jc w:val="both"/>
        <w:rPr>
          <w:rFonts w:ascii="Arial" w:hAnsi="Arial"/>
          <w:noProof w:val="0"/>
        </w:rPr>
      </w:pPr>
      <w:r>
        <w:rPr>
          <w:rFonts w:ascii="Arial" w:hAnsi="Arial"/>
          <w:noProof w:val="0"/>
          <w:rtl/>
        </w:rPr>
        <w:lastRenderedPageBreak/>
        <w:t>בטרם הגישה הנתבעת תלונה למשטרה ניסתה לשוחח עם התובע בדרכים שונות, ברם כל פניותיה העלו חרס ומשלא נותרה לה ברירה פנתה למשטרת ישראל.</w:t>
      </w:r>
    </w:p>
    <w:p w:rsidR="00F660FC" w:rsidRDefault="00F660FC" w:rsidP="00F660FC">
      <w:pPr>
        <w:pStyle w:val="ad"/>
        <w:ind w:left="567" w:hanging="567"/>
        <w:rPr>
          <w:rFonts w:ascii="Arial" w:hAnsi="Arial"/>
          <w:b/>
          <w:bCs/>
          <w:noProof w:val="0"/>
          <w:u w:val="single"/>
          <w:rtl/>
        </w:rPr>
      </w:pPr>
    </w:p>
    <w:p w:rsidR="00F660FC" w:rsidRDefault="00F660FC" w:rsidP="00F660FC">
      <w:pPr>
        <w:pStyle w:val="ad"/>
        <w:ind w:left="567" w:hanging="567"/>
        <w:rPr>
          <w:rFonts w:ascii="Arial" w:hAnsi="Arial"/>
          <w:b/>
          <w:bCs/>
          <w:noProof w:val="0"/>
          <w:u w:val="single"/>
        </w:rPr>
      </w:pPr>
      <w:r>
        <w:rPr>
          <w:rFonts w:ascii="Arial" w:hAnsi="Arial"/>
          <w:b/>
          <w:bCs/>
          <w:noProof w:val="0"/>
          <w:u w:val="single"/>
          <w:rtl/>
        </w:rPr>
        <w:t>דיון והכרעה:</w:t>
      </w:r>
    </w:p>
    <w:p w:rsidR="00F660FC" w:rsidRDefault="00F660FC" w:rsidP="00F660FC">
      <w:pPr>
        <w:pStyle w:val="ad"/>
        <w:ind w:left="567" w:hanging="567"/>
        <w:rPr>
          <w:rFonts w:ascii="Arial" w:hAnsi="Arial"/>
          <w:b/>
          <w:bCs/>
          <w:noProof w:val="0"/>
          <w:u w:val="single"/>
          <w:rtl/>
        </w:rPr>
      </w:pPr>
    </w:p>
    <w:p w:rsidR="00F660FC" w:rsidRDefault="00F660FC" w:rsidP="00F660FC">
      <w:pPr>
        <w:pStyle w:val="ad"/>
        <w:numPr>
          <w:ilvl w:val="0"/>
          <w:numId w:val="1"/>
        </w:numPr>
        <w:spacing w:line="360" w:lineRule="auto"/>
        <w:ind w:left="567" w:hanging="567"/>
        <w:jc w:val="both"/>
        <w:rPr>
          <w:rFonts w:ascii="Arial" w:hAnsi="Arial"/>
          <w:noProof w:val="0"/>
          <w:rtl/>
        </w:rPr>
      </w:pPr>
      <w:r>
        <w:rPr>
          <w:rFonts w:ascii="Arial" w:hAnsi="Arial"/>
          <w:noProof w:val="0"/>
          <w:rtl/>
        </w:rPr>
        <w:t>בצד הזכות בידי כל אדם להגיש תלונה במשטרה בהתאם לסע' 58 לחוק סדר הדין הפלילי[נוסח משולב], תשמ"ב-1982 נקבע  בפסיקה  כי  זכות  זו  תצומצם  למקרים  בהם  הוכח שימוש לרעה בזכות באמצעות הגשת תלונת שווא למשטרה אשר מהווה עילה לתביעה נזיקית המזכה את התובע בפיצוי כספי, לכל הפחות על פי חוק איסור לשון הרע (ר'בג"ץ 9452/11 שוורץ נ' בית הדין הארצי לעבודה (פורסם בנבו, 11.3.12.).</w:t>
      </w:r>
    </w:p>
    <w:p w:rsidR="00F660FC" w:rsidRDefault="00F660FC" w:rsidP="00F660FC">
      <w:pPr>
        <w:pStyle w:val="ad"/>
        <w:spacing w:line="360" w:lineRule="auto"/>
        <w:ind w:left="567" w:hanging="567"/>
        <w:jc w:val="both"/>
        <w:rPr>
          <w:rFonts w:ascii="Arial" w:hAnsi="Arial"/>
          <w:noProof w:val="0"/>
          <w:rtl/>
        </w:rPr>
      </w:pPr>
      <w:r>
        <w:rPr>
          <w:rFonts w:ascii="Arial" w:hAnsi="Arial"/>
          <w:noProof w:val="0"/>
          <w:rtl/>
        </w:rPr>
        <w:t xml:space="preserve"> </w:t>
      </w:r>
    </w:p>
    <w:p w:rsidR="00F660FC" w:rsidRDefault="00F660FC" w:rsidP="00F660FC">
      <w:pPr>
        <w:pStyle w:val="ad"/>
        <w:numPr>
          <w:ilvl w:val="0"/>
          <w:numId w:val="1"/>
        </w:numPr>
        <w:spacing w:line="360" w:lineRule="auto"/>
        <w:ind w:left="567" w:hanging="567"/>
        <w:jc w:val="both"/>
        <w:rPr>
          <w:rFonts w:ascii="Arial" w:hAnsi="Arial"/>
          <w:noProof w:val="0"/>
        </w:rPr>
      </w:pPr>
      <w:r>
        <w:rPr>
          <w:rFonts w:ascii="David" w:hAnsi="David"/>
          <w:noProof w:val="0"/>
          <w:color w:val="000000"/>
          <w:rtl/>
        </w:rPr>
        <w:t>בסעיף 15 לחוק איסור לשון הרע שכותרתו "הגנת תום לב" נקבע בין היתר:</w:t>
      </w:r>
    </w:p>
    <w:p w:rsidR="00F660FC" w:rsidRDefault="00F660FC" w:rsidP="00F660FC">
      <w:pPr>
        <w:shd w:val="clear" w:color="auto" w:fill="FFFFFF"/>
        <w:spacing w:line="360" w:lineRule="auto"/>
        <w:ind w:left="567" w:right="851" w:hanging="567"/>
        <w:jc w:val="both"/>
        <w:rPr>
          <w:rFonts w:ascii="David" w:hAnsi="David"/>
          <w:b/>
          <w:bCs/>
          <w:noProof w:val="0"/>
          <w:color w:val="000000"/>
        </w:rPr>
      </w:pPr>
      <w:r>
        <w:rPr>
          <w:rFonts w:ascii="David" w:hAnsi="David"/>
          <w:b/>
          <w:bCs/>
          <w:noProof w:val="0"/>
          <w:color w:val="000000"/>
          <w:rtl/>
        </w:rPr>
        <w:tab/>
        <w:t>" במשפט</w:t>
      </w:r>
      <w:r>
        <w:rPr>
          <w:rFonts w:ascii="David" w:hAnsi="David"/>
          <w:b/>
          <w:bCs/>
          <w:noProof w:val="0"/>
          <w:color w:val="000000"/>
        </w:rPr>
        <w:t> </w:t>
      </w:r>
      <w:r>
        <w:rPr>
          <w:rFonts w:ascii="David" w:hAnsi="David"/>
          <w:b/>
          <w:bCs/>
          <w:noProof w:val="0"/>
          <w:color w:val="000000"/>
          <w:rtl/>
        </w:rPr>
        <w:t>פלילי</w:t>
      </w:r>
      <w:r>
        <w:rPr>
          <w:rFonts w:ascii="David" w:hAnsi="David"/>
          <w:b/>
          <w:bCs/>
          <w:noProof w:val="0"/>
          <w:color w:val="000000"/>
        </w:rPr>
        <w:t> </w:t>
      </w:r>
      <w:r>
        <w:rPr>
          <w:rFonts w:ascii="David" w:hAnsi="David"/>
          <w:b/>
          <w:bCs/>
          <w:noProof w:val="0"/>
          <w:color w:val="000000"/>
          <w:rtl/>
        </w:rPr>
        <w:t>או</w:t>
      </w:r>
      <w:r>
        <w:rPr>
          <w:rFonts w:ascii="David" w:hAnsi="David"/>
          <w:b/>
          <w:bCs/>
          <w:noProof w:val="0"/>
          <w:color w:val="000000"/>
        </w:rPr>
        <w:t> </w:t>
      </w:r>
      <w:r>
        <w:rPr>
          <w:rFonts w:ascii="David" w:hAnsi="David"/>
          <w:b/>
          <w:bCs/>
          <w:noProof w:val="0"/>
          <w:color w:val="000000"/>
          <w:rtl/>
        </w:rPr>
        <w:t>אזרחי</w:t>
      </w:r>
      <w:r>
        <w:rPr>
          <w:rFonts w:ascii="David" w:hAnsi="David"/>
          <w:b/>
          <w:bCs/>
          <w:noProof w:val="0"/>
          <w:color w:val="000000"/>
        </w:rPr>
        <w:t> </w:t>
      </w:r>
      <w:r>
        <w:rPr>
          <w:rFonts w:ascii="David" w:hAnsi="David"/>
          <w:b/>
          <w:bCs/>
          <w:noProof w:val="0"/>
          <w:color w:val="000000"/>
          <w:rtl/>
        </w:rPr>
        <w:t>בשל</w:t>
      </w:r>
      <w:r>
        <w:rPr>
          <w:rFonts w:ascii="David" w:hAnsi="David"/>
          <w:b/>
          <w:bCs/>
          <w:noProof w:val="0"/>
          <w:color w:val="000000"/>
        </w:rPr>
        <w:t> </w:t>
      </w:r>
      <w:r>
        <w:rPr>
          <w:rFonts w:ascii="David" w:hAnsi="David"/>
          <w:b/>
          <w:bCs/>
          <w:noProof w:val="0"/>
          <w:color w:val="000000"/>
          <w:rtl/>
        </w:rPr>
        <w:t>לשון-</w:t>
      </w:r>
      <w:r>
        <w:rPr>
          <w:rFonts w:ascii="David" w:hAnsi="David"/>
          <w:b/>
          <w:bCs/>
          <w:noProof w:val="0"/>
          <w:color w:val="000000"/>
        </w:rPr>
        <w:t> </w:t>
      </w:r>
      <w:r>
        <w:rPr>
          <w:rFonts w:ascii="David" w:hAnsi="David"/>
          <w:b/>
          <w:bCs/>
          <w:noProof w:val="0"/>
          <w:color w:val="000000"/>
          <w:rtl/>
        </w:rPr>
        <w:t>הרע</w:t>
      </w:r>
      <w:r>
        <w:rPr>
          <w:rFonts w:ascii="David" w:hAnsi="David"/>
          <w:b/>
          <w:bCs/>
          <w:noProof w:val="0"/>
          <w:color w:val="000000"/>
        </w:rPr>
        <w:t> </w:t>
      </w:r>
      <w:r>
        <w:rPr>
          <w:rFonts w:ascii="David" w:hAnsi="David"/>
          <w:b/>
          <w:bCs/>
          <w:noProof w:val="0"/>
          <w:color w:val="000000"/>
          <w:rtl/>
        </w:rPr>
        <w:t>תהא</w:t>
      </w:r>
      <w:r>
        <w:rPr>
          <w:rFonts w:ascii="David" w:hAnsi="David"/>
          <w:b/>
          <w:bCs/>
          <w:noProof w:val="0"/>
          <w:color w:val="000000"/>
        </w:rPr>
        <w:t> </w:t>
      </w:r>
      <w:r>
        <w:rPr>
          <w:rFonts w:ascii="David" w:hAnsi="David"/>
          <w:b/>
          <w:bCs/>
          <w:noProof w:val="0"/>
          <w:color w:val="000000"/>
          <w:rtl/>
        </w:rPr>
        <w:t>זאת</w:t>
      </w:r>
      <w:r>
        <w:rPr>
          <w:rFonts w:ascii="David" w:hAnsi="David"/>
          <w:b/>
          <w:bCs/>
          <w:noProof w:val="0"/>
          <w:color w:val="000000"/>
        </w:rPr>
        <w:t> </w:t>
      </w:r>
      <w:r>
        <w:rPr>
          <w:rFonts w:ascii="David" w:hAnsi="David"/>
          <w:b/>
          <w:bCs/>
          <w:noProof w:val="0"/>
          <w:color w:val="000000"/>
          <w:rtl/>
        </w:rPr>
        <w:t>הגנה</w:t>
      </w:r>
      <w:r>
        <w:rPr>
          <w:rFonts w:ascii="David" w:hAnsi="David"/>
          <w:b/>
          <w:bCs/>
          <w:noProof w:val="0"/>
          <w:color w:val="000000"/>
        </w:rPr>
        <w:t> </w:t>
      </w:r>
      <w:r>
        <w:rPr>
          <w:rFonts w:ascii="David" w:hAnsi="David"/>
          <w:b/>
          <w:bCs/>
          <w:noProof w:val="0"/>
          <w:color w:val="000000"/>
          <w:rtl/>
        </w:rPr>
        <w:t>טובה</w:t>
      </w:r>
      <w:r>
        <w:rPr>
          <w:rFonts w:ascii="David" w:hAnsi="David"/>
          <w:b/>
          <w:bCs/>
          <w:noProof w:val="0"/>
          <w:color w:val="000000"/>
        </w:rPr>
        <w:t> </w:t>
      </w:r>
      <w:r>
        <w:rPr>
          <w:rFonts w:ascii="David" w:hAnsi="David"/>
          <w:b/>
          <w:bCs/>
          <w:noProof w:val="0"/>
          <w:color w:val="000000"/>
          <w:rtl/>
        </w:rPr>
        <w:t>אם</w:t>
      </w:r>
      <w:r>
        <w:rPr>
          <w:rFonts w:ascii="David" w:hAnsi="David"/>
          <w:b/>
          <w:bCs/>
          <w:noProof w:val="0"/>
          <w:color w:val="000000"/>
        </w:rPr>
        <w:t> </w:t>
      </w:r>
      <w:r>
        <w:rPr>
          <w:rFonts w:ascii="David" w:hAnsi="David"/>
          <w:b/>
          <w:bCs/>
          <w:noProof w:val="0"/>
          <w:color w:val="000000"/>
          <w:rtl/>
        </w:rPr>
        <w:t>הנאשם</w:t>
      </w:r>
      <w:r>
        <w:rPr>
          <w:rFonts w:ascii="David" w:hAnsi="David"/>
          <w:b/>
          <w:bCs/>
          <w:noProof w:val="0"/>
          <w:color w:val="000000"/>
        </w:rPr>
        <w:t> </w:t>
      </w:r>
      <w:r>
        <w:rPr>
          <w:rFonts w:ascii="David" w:hAnsi="David"/>
          <w:b/>
          <w:bCs/>
          <w:noProof w:val="0"/>
          <w:color w:val="000000"/>
          <w:rtl/>
        </w:rPr>
        <w:t>או</w:t>
      </w:r>
      <w:r>
        <w:rPr>
          <w:rFonts w:ascii="David" w:hAnsi="David"/>
          <w:b/>
          <w:bCs/>
          <w:noProof w:val="0"/>
          <w:color w:val="000000"/>
        </w:rPr>
        <w:t> </w:t>
      </w:r>
    </w:p>
    <w:p w:rsidR="00F660FC" w:rsidRDefault="00F660FC" w:rsidP="00F660FC">
      <w:pPr>
        <w:shd w:val="clear" w:color="auto" w:fill="FFFFFF"/>
        <w:spacing w:line="360" w:lineRule="auto"/>
        <w:ind w:left="567" w:right="851" w:hanging="567"/>
        <w:jc w:val="both"/>
        <w:rPr>
          <w:rFonts w:ascii="David" w:hAnsi="David"/>
          <w:b/>
          <w:bCs/>
          <w:noProof w:val="0"/>
          <w:color w:val="000000"/>
        </w:rPr>
      </w:pPr>
      <w:r>
        <w:rPr>
          <w:rFonts w:ascii="David" w:hAnsi="David"/>
          <w:b/>
          <w:bCs/>
          <w:noProof w:val="0"/>
          <w:color w:val="000000"/>
        </w:rPr>
        <w:tab/>
      </w:r>
      <w:r>
        <w:rPr>
          <w:rFonts w:ascii="David" w:hAnsi="David"/>
          <w:b/>
          <w:bCs/>
          <w:noProof w:val="0"/>
          <w:color w:val="000000"/>
          <w:rtl/>
        </w:rPr>
        <w:t>הנתבע</w:t>
      </w:r>
      <w:r>
        <w:rPr>
          <w:rFonts w:ascii="David" w:hAnsi="David"/>
          <w:b/>
          <w:bCs/>
          <w:noProof w:val="0"/>
          <w:color w:val="000000"/>
        </w:rPr>
        <w:t> </w:t>
      </w:r>
      <w:r>
        <w:rPr>
          <w:rFonts w:ascii="David" w:hAnsi="David"/>
          <w:b/>
          <w:bCs/>
          <w:noProof w:val="0"/>
          <w:color w:val="000000"/>
          <w:rtl/>
        </w:rPr>
        <w:t>עשה</w:t>
      </w:r>
      <w:r>
        <w:rPr>
          <w:rFonts w:ascii="David" w:hAnsi="David"/>
          <w:b/>
          <w:bCs/>
          <w:noProof w:val="0"/>
          <w:color w:val="000000"/>
        </w:rPr>
        <w:t> </w:t>
      </w:r>
      <w:r>
        <w:rPr>
          <w:rFonts w:ascii="David" w:hAnsi="David"/>
          <w:b/>
          <w:bCs/>
          <w:noProof w:val="0"/>
          <w:color w:val="000000"/>
          <w:rtl/>
        </w:rPr>
        <w:t>את</w:t>
      </w:r>
      <w:r>
        <w:rPr>
          <w:rFonts w:ascii="David" w:hAnsi="David"/>
          <w:b/>
          <w:bCs/>
          <w:noProof w:val="0"/>
          <w:color w:val="000000"/>
        </w:rPr>
        <w:t> </w:t>
      </w:r>
      <w:r>
        <w:rPr>
          <w:rFonts w:ascii="David" w:hAnsi="David"/>
          <w:b/>
          <w:bCs/>
          <w:noProof w:val="0"/>
          <w:color w:val="000000"/>
          <w:rtl/>
        </w:rPr>
        <w:t>הפרסום</w:t>
      </w:r>
      <w:r>
        <w:rPr>
          <w:rFonts w:ascii="David" w:hAnsi="David"/>
          <w:b/>
          <w:bCs/>
          <w:noProof w:val="0"/>
          <w:color w:val="000000"/>
        </w:rPr>
        <w:t> </w:t>
      </w:r>
      <w:r>
        <w:rPr>
          <w:rFonts w:ascii="David" w:hAnsi="David"/>
          <w:b/>
          <w:bCs/>
          <w:noProof w:val="0"/>
          <w:color w:val="000000"/>
          <w:rtl/>
        </w:rPr>
        <w:t>בתום</w:t>
      </w:r>
      <w:r>
        <w:rPr>
          <w:rFonts w:ascii="David" w:hAnsi="David"/>
          <w:b/>
          <w:bCs/>
          <w:noProof w:val="0"/>
          <w:color w:val="000000"/>
        </w:rPr>
        <w:t> </w:t>
      </w:r>
      <w:r>
        <w:rPr>
          <w:rFonts w:ascii="David" w:hAnsi="David"/>
          <w:b/>
          <w:bCs/>
          <w:noProof w:val="0"/>
          <w:color w:val="000000"/>
          <w:rtl/>
        </w:rPr>
        <w:t>לב</w:t>
      </w:r>
      <w:r>
        <w:rPr>
          <w:rFonts w:ascii="David" w:hAnsi="David"/>
          <w:b/>
          <w:bCs/>
          <w:noProof w:val="0"/>
          <w:color w:val="000000"/>
        </w:rPr>
        <w:t> </w:t>
      </w:r>
      <w:r>
        <w:rPr>
          <w:rFonts w:ascii="David" w:hAnsi="David"/>
          <w:b/>
          <w:bCs/>
          <w:noProof w:val="0"/>
          <w:color w:val="000000"/>
          <w:rtl/>
        </w:rPr>
        <w:t>באחת</w:t>
      </w:r>
      <w:r>
        <w:rPr>
          <w:rFonts w:ascii="David" w:hAnsi="David"/>
          <w:b/>
          <w:bCs/>
          <w:noProof w:val="0"/>
          <w:color w:val="000000"/>
        </w:rPr>
        <w:t> </w:t>
      </w:r>
      <w:r>
        <w:rPr>
          <w:rFonts w:ascii="David" w:hAnsi="David"/>
          <w:b/>
          <w:bCs/>
          <w:noProof w:val="0"/>
          <w:color w:val="000000"/>
          <w:rtl/>
        </w:rPr>
        <w:t>הנסיבות</w:t>
      </w:r>
      <w:r>
        <w:rPr>
          <w:rFonts w:ascii="David" w:hAnsi="David"/>
          <w:b/>
          <w:bCs/>
          <w:noProof w:val="0"/>
          <w:color w:val="000000"/>
        </w:rPr>
        <w:t> </w:t>
      </w:r>
      <w:r>
        <w:rPr>
          <w:rFonts w:ascii="David" w:hAnsi="David"/>
          <w:b/>
          <w:bCs/>
          <w:noProof w:val="0"/>
          <w:color w:val="000000"/>
          <w:rtl/>
        </w:rPr>
        <w:t>האלו</w:t>
      </w:r>
      <w:r>
        <w:rPr>
          <w:rFonts w:ascii="David" w:hAnsi="David"/>
          <w:b/>
          <w:bCs/>
          <w:noProof w:val="0"/>
          <w:color w:val="000000"/>
        </w:rPr>
        <w:t>:</w:t>
      </w:r>
    </w:p>
    <w:p w:rsidR="00F660FC" w:rsidRDefault="00F660FC" w:rsidP="00F660FC">
      <w:pPr>
        <w:shd w:val="clear" w:color="auto" w:fill="FFFFFF"/>
        <w:spacing w:line="360" w:lineRule="auto"/>
        <w:ind w:left="567" w:right="851" w:hanging="567"/>
        <w:jc w:val="both"/>
        <w:rPr>
          <w:rFonts w:ascii="David" w:hAnsi="David"/>
          <w:noProof w:val="0"/>
          <w:color w:val="000000"/>
        </w:rPr>
      </w:pPr>
      <w:r>
        <w:rPr>
          <w:rFonts w:ascii="David" w:hAnsi="David"/>
          <w:b/>
          <w:bCs/>
          <w:noProof w:val="0"/>
          <w:color w:val="000000"/>
          <w:rtl/>
        </w:rPr>
        <w:tab/>
        <w:t>...</w:t>
      </w:r>
    </w:p>
    <w:p w:rsidR="00F660FC" w:rsidRDefault="00F660FC" w:rsidP="00F660FC">
      <w:pPr>
        <w:shd w:val="clear" w:color="auto" w:fill="FFFFFF"/>
        <w:spacing w:line="360" w:lineRule="auto"/>
        <w:ind w:left="567" w:right="851" w:hanging="567"/>
        <w:jc w:val="both"/>
        <w:rPr>
          <w:rFonts w:ascii="David" w:hAnsi="David"/>
          <w:noProof w:val="0"/>
          <w:color w:val="000000"/>
        </w:rPr>
      </w:pPr>
      <w:r>
        <w:rPr>
          <w:rFonts w:ascii="David" w:hAnsi="David"/>
          <w:b/>
          <w:bCs/>
          <w:noProof w:val="0"/>
          <w:color w:val="000000"/>
          <w:rtl/>
        </w:rPr>
        <w:tab/>
        <w:t>(3) הפרסום נעשה לשם הגנה על ענין אישי כשר של הנאשם או הנתבע, של האדם שאליו הופנה הפרסום או של מי שאותו אדם מעוניין בו ענין אישי כשר".</w:t>
      </w:r>
    </w:p>
    <w:p w:rsidR="00F660FC" w:rsidRDefault="00F660FC" w:rsidP="00F660FC">
      <w:pPr>
        <w:pStyle w:val="10"/>
        <w:spacing w:line="360" w:lineRule="auto"/>
        <w:ind w:left="567" w:hanging="567"/>
        <w:jc w:val="both"/>
        <w:rPr>
          <w:rFonts w:ascii="David" w:hAnsi="David"/>
          <w:b/>
          <w:bCs/>
          <w:noProof w:val="0"/>
          <w:rtl/>
        </w:rPr>
      </w:pPr>
      <w:r>
        <w:rPr>
          <w:rFonts w:ascii="David" w:hAnsi="David"/>
          <w:b/>
          <w:bCs/>
          <w:noProof w:val="0"/>
          <w:rtl/>
        </w:rPr>
        <w:tab/>
        <w:t>...</w:t>
      </w:r>
    </w:p>
    <w:p w:rsidR="00F660FC" w:rsidRDefault="00F660FC" w:rsidP="00F660FC">
      <w:pPr>
        <w:pStyle w:val="10"/>
        <w:spacing w:line="360" w:lineRule="auto"/>
        <w:ind w:left="567" w:hanging="567"/>
        <w:jc w:val="both"/>
        <w:rPr>
          <w:rFonts w:ascii="David" w:hAnsi="David"/>
          <w:b/>
          <w:bCs/>
          <w:noProof w:val="0"/>
        </w:rPr>
      </w:pPr>
      <w:r>
        <w:rPr>
          <w:rFonts w:ascii="David" w:hAnsi="David"/>
          <w:b/>
          <w:bCs/>
          <w:noProof w:val="0"/>
          <w:rtl/>
        </w:rPr>
        <w:lastRenderedPageBreak/>
        <w:tab/>
        <w:t>(8) הפרסום היה בהגשת תלונה על הנפגע בענין שבו האדם שאליו הוגשה התלונה ממונה על הנפגע, מכוח דין או חוזה, או תלונה שהוגשה לרשות המוסמכת לקבל תלונות על הנפגע או לחקור בענין המשמש נושא התלונה ואולם אין בהוראה זו כדי להקנות הגנה על פרסום אחר של התלונה, של דבר הגשתה או של תכנה;"</w:t>
      </w:r>
    </w:p>
    <w:p w:rsidR="00F660FC" w:rsidRDefault="00F660FC" w:rsidP="00F660FC">
      <w:pPr>
        <w:pStyle w:val="10"/>
        <w:spacing w:line="360" w:lineRule="auto"/>
        <w:ind w:left="567" w:hanging="567"/>
        <w:jc w:val="both"/>
        <w:rPr>
          <w:rFonts w:ascii="David" w:hAnsi="David"/>
          <w:b/>
          <w:bCs/>
          <w:noProof w:val="0"/>
          <w:rtl/>
        </w:rPr>
      </w:pPr>
    </w:p>
    <w:p w:rsidR="00F660FC" w:rsidRDefault="00F660FC" w:rsidP="00F660FC">
      <w:pPr>
        <w:pStyle w:val="10"/>
        <w:numPr>
          <w:ilvl w:val="0"/>
          <w:numId w:val="1"/>
        </w:numPr>
        <w:spacing w:line="360" w:lineRule="auto"/>
        <w:ind w:left="567" w:hanging="567"/>
        <w:jc w:val="both"/>
        <w:rPr>
          <w:rStyle w:val="default"/>
          <w:rFonts w:ascii="David" w:hAnsi="David"/>
          <w:rtl/>
        </w:rPr>
      </w:pPr>
      <w:r>
        <w:rPr>
          <w:rFonts w:ascii="David" w:hAnsi="David"/>
          <w:b/>
          <w:noProof w:val="0"/>
          <w:rtl/>
        </w:rPr>
        <w:t>את</w:t>
      </w:r>
      <w:r>
        <w:rPr>
          <w:rFonts w:ascii="David" w:hAnsi="David"/>
          <w:noProof w:val="0"/>
          <w:rtl/>
        </w:rPr>
        <w:t xml:space="preserve"> הוראת סעיף 15 יש לקרוא יחד עם הוראת סעיף 16 לחוק הקובעת:</w:t>
      </w:r>
    </w:p>
    <w:p w:rsidR="00F660FC" w:rsidRDefault="00F660FC" w:rsidP="00F660FC">
      <w:pPr>
        <w:pStyle w:val="2"/>
        <w:tabs>
          <w:tab w:val="left" w:pos="992"/>
        </w:tabs>
        <w:spacing w:line="360" w:lineRule="auto"/>
        <w:ind w:left="567" w:hanging="567"/>
        <w:jc w:val="both"/>
        <w:rPr>
          <w:rFonts w:eastAsia="Times New Roman"/>
          <w:rtl/>
        </w:rPr>
      </w:pPr>
      <w:r>
        <w:rPr>
          <w:rFonts w:ascii="David" w:eastAsia="Times New Roman" w:hAnsi="David"/>
          <w:b/>
          <w:bCs/>
          <w:rtl/>
        </w:rPr>
        <w:tab/>
        <w:t>"16.</w:t>
      </w:r>
      <w:r>
        <w:rPr>
          <w:rFonts w:ascii="David" w:eastAsia="Times New Roman" w:hAnsi="David"/>
          <w:b/>
          <w:bCs/>
          <w:rtl/>
        </w:rPr>
        <w:tab/>
        <w:t xml:space="preserve">(א) הוכיח הנאשם או הנתבע שעשה את הפרסום באחת הנסיבות האמורות </w:t>
      </w:r>
      <w:r>
        <w:rPr>
          <w:rFonts w:ascii="David" w:eastAsia="Times New Roman" w:hAnsi="David"/>
          <w:b/>
          <w:bCs/>
          <w:rtl/>
        </w:rPr>
        <w:tab/>
      </w:r>
      <w:r>
        <w:rPr>
          <w:rFonts w:ascii="David" w:eastAsia="Times New Roman" w:hAnsi="David"/>
          <w:b/>
          <w:bCs/>
          <w:rtl/>
        </w:rPr>
        <w:tab/>
        <w:t xml:space="preserve">בסעיף 15 ושהפרסום לא חרג מתחום הסביר באותן נסיבות, חזקה עליו שעשה </w:t>
      </w:r>
      <w:r>
        <w:rPr>
          <w:rFonts w:ascii="David" w:eastAsia="Times New Roman" w:hAnsi="David"/>
          <w:b/>
          <w:bCs/>
          <w:rtl/>
        </w:rPr>
        <w:tab/>
      </w:r>
      <w:r>
        <w:rPr>
          <w:rFonts w:ascii="David" w:eastAsia="Times New Roman" w:hAnsi="David"/>
          <w:b/>
          <w:bCs/>
          <w:rtl/>
        </w:rPr>
        <w:tab/>
        <w:t xml:space="preserve">את הפרסום בתום לב. </w:t>
      </w:r>
    </w:p>
    <w:p w:rsidR="00F660FC" w:rsidRDefault="00F660FC" w:rsidP="00F660FC">
      <w:pPr>
        <w:pStyle w:val="2"/>
        <w:tabs>
          <w:tab w:val="left" w:pos="992"/>
        </w:tabs>
        <w:spacing w:line="360" w:lineRule="auto"/>
        <w:ind w:left="567" w:hanging="567"/>
        <w:jc w:val="both"/>
        <w:rPr>
          <w:rFonts w:ascii="David" w:eastAsia="Times New Roman" w:hAnsi="David"/>
          <w:b/>
          <w:bCs/>
          <w:rtl/>
        </w:rPr>
      </w:pPr>
      <w:r>
        <w:rPr>
          <w:rFonts w:ascii="David" w:eastAsia="Times New Roman" w:hAnsi="David"/>
          <w:b/>
          <w:bCs/>
          <w:rtl/>
        </w:rPr>
        <w:tab/>
      </w:r>
      <w:r>
        <w:rPr>
          <w:rFonts w:ascii="David" w:eastAsia="Times New Roman" w:hAnsi="David"/>
          <w:b/>
          <w:bCs/>
          <w:rtl/>
        </w:rPr>
        <w:tab/>
        <w:t xml:space="preserve">(ב) חזקה על הנאשם או הנתבע שעשה את הפרסום שלא בתום לב אם נתקיים </w:t>
      </w:r>
      <w:r>
        <w:rPr>
          <w:rFonts w:ascii="David" w:eastAsia="Times New Roman" w:hAnsi="David"/>
          <w:b/>
          <w:bCs/>
          <w:rtl/>
        </w:rPr>
        <w:tab/>
      </w:r>
      <w:r>
        <w:rPr>
          <w:rFonts w:ascii="David" w:eastAsia="Times New Roman" w:hAnsi="David"/>
          <w:b/>
          <w:bCs/>
          <w:rtl/>
        </w:rPr>
        <w:tab/>
        <w:t>בפרסום אחת מאלה:</w:t>
      </w:r>
    </w:p>
    <w:p w:rsidR="00F660FC" w:rsidRDefault="00F660FC" w:rsidP="00F660FC">
      <w:pPr>
        <w:pStyle w:val="2"/>
        <w:tabs>
          <w:tab w:val="left" w:pos="992"/>
        </w:tabs>
        <w:spacing w:line="360" w:lineRule="auto"/>
        <w:ind w:left="567" w:hanging="567"/>
        <w:jc w:val="both"/>
        <w:rPr>
          <w:rFonts w:ascii="David" w:eastAsia="Times New Roman" w:hAnsi="David"/>
          <w:b/>
          <w:bCs/>
        </w:rPr>
      </w:pPr>
      <w:r>
        <w:rPr>
          <w:rFonts w:ascii="David" w:eastAsia="Times New Roman" w:hAnsi="David"/>
          <w:b/>
          <w:bCs/>
          <w:rtl/>
        </w:rPr>
        <w:tab/>
      </w:r>
      <w:r>
        <w:rPr>
          <w:rFonts w:ascii="David" w:eastAsia="Times New Roman" w:hAnsi="David"/>
          <w:b/>
          <w:bCs/>
          <w:rtl/>
        </w:rPr>
        <w:tab/>
        <w:t xml:space="preserve"> (1) </w:t>
      </w:r>
      <w:r>
        <w:rPr>
          <w:rFonts w:ascii="David" w:eastAsia="Times New Roman" w:hAnsi="David"/>
          <w:b/>
          <w:bCs/>
          <w:rtl/>
        </w:rPr>
        <w:tab/>
        <w:t>הדבר שפורסם לא היה אמת והוא לא האמין באמיתותו;</w:t>
      </w:r>
    </w:p>
    <w:p w:rsidR="00F660FC" w:rsidRDefault="00F660FC" w:rsidP="00F660FC">
      <w:pPr>
        <w:pStyle w:val="2"/>
        <w:tabs>
          <w:tab w:val="left" w:pos="992"/>
        </w:tabs>
        <w:spacing w:line="360" w:lineRule="auto"/>
        <w:ind w:left="567" w:hanging="567"/>
        <w:jc w:val="both"/>
        <w:rPr>
          <w:rFonts w:ascii="David" w:eastAsia="Times New Roman" w:hAnsi="David"/>
          <w:b/>
          <w:bCs/>
          <w:rtl/>
        </w:rPr>
      </w:pPr>
      <w:r>
        <w:rPr>
          <w:rFonts w:ascii="David" w:eastAsia="Times New Roman" w:hAnsi="David"/>
          <w:b/>
          <w:bCs/>
          <w:rtl/>
        </w:rPr>
        <w:tab/>
      </w:r>
      <w:r>
        <w:rPr>
          <w:rFonts w:ascii="David" w:eastAsia="Times New Roman" w:hAnsi="David"/>
          <w:b/>
          <w:bCs/>
          <w:rtl/>
        </w:rPr>
        <w:tab/>
        <w:t xml:space="preserve"> (2) </w:t>
      </w:r>
      <w:r>
        <w:rPr>
          <w:rFonts w:ascii="David" w:eastAsia="Times New Roman" w:hAnsi="David"/>
          <w:b/>
          <w:bCs/>
          <w:rtl/>
        </w:rPr>
        <w:tab/>
        <w:t xml:space="preserve">הדבר שפורסם לא היה אמת והוא לא נקט לפני הפרסום אמצעים סבירים </w:t>
      </w:r>
      <w:r>
        <w:rPr>
          <w:rFonts w:ascii="David" w:eastAsia="Times New Roman" w:hAnsi="David"/>
          <w:b/>
          <w:bCs/>
          <w:rtl/>
        </w:rPr>
        <w:tab/>
        <w:t>להיווכח אם אמת הוא אם לא;</w:t>
      </w:r>
    </w:p>
    <w:p w:rsidR="00F660FC" w:rsidRDefault="00F660FC" w:rsidP="00F660FC">
      <w:pPr>
        <w:pStyle w:val="2"/>
        <w:tabs>
          <w:tab w:val="left" w:pos="992"/>
        </w:tabs>
        <w:spacing w:line="360" w:lineRule="auto"/>
        <w:ind w:left="567" w:hanging="567"/>
        <w:jc w:val="both"/>
        <w:rPr>
          <w:rFonts w:ascii="David" w:eastAsia="Times New Roman" w:hAnsi="David"/>
          <w:b/>
          <w:bCs/>
          <w:noProof w:val="0"/>
          <w:rtl/>
        </w:rPr>
      </w:pPr>
      <w:r>
        <w:rPr>
          <w:rFonts w:ascii="David" w:eastAsia="Times New Roman" w:hAnsi="David"/>
          <w:b/>
          <w:bCs/>
          <w:rtl/>
        </w:rPr>
        <w:tab/>
      </w:r>
      <w:r>
        <w:rPr>
          <w:rFonts w:ascii="David" w:eastAsia="Times New Roman" w:hAnsi="David"/>
          <w:b/>
          <w:bCs/>
          <w:rtl/>
        </w:rPr>
        <w:tab/>
        <w:t xml:space="preserve"> (3) </w:t>
      </w:r>
      <w:r>
        <w:rPr>
          <w:rFonts w:ascii="David" w:eastAsia="Times New Roman" w:hAnsi="David"/>
          <w:b/>
          <w:bCs/>
          <w:rtl/>
        </w:rPr>
        <w:tab/>
        <w:t xml:space="preserve">הוא נתכוון על ידי הפרסום לפגוע במידה גדולה משהיתה סבירה להגנת הערכים </w:t>
      </w:r>
      <w:r>
        <w:rPr>
          <w:rFonts w:ascii="David" w:eastAsia="Times New Roman" w:hAnsi="David"/>
          <w:b/>
          <w:bCs/>
          <w:rtl/>
        </w:rPr>
        <w:tab/>
      </w:r>
      <w:r>
        <w:rPr>
          <w:rFonts w:ascii="David" w:eastAsia="Times New Roman" w:hAnsi="David"/>
          <w:b/>
          <w:bCs/>
          <w:rtl/>
        </w:rPr>
        <w:tab/>
        <w:t>המוגנים על-ידי סעיף 15</w:t>
      </w:r>
      <w:r>
        <w:rPr>
          <w:rFonts w:ascii="David" w:eastAsia="Times New Roman" w:hAnsi="David"/>
          <w:b/>
          <w:bCs/>
          <w:noProof w:val="0"/>
          <w:rtl/>
        </w:rPr>
        <w:t xml:space="preserve">". </w:t>
      </w:r>
    </w:p>
    <w:p w:rsidR="00F660FC" w:rsidRDefault="00F660FC" w:rsidP="00F660FC">
      <w:pPr>
        <w:pStyle w:val="2"/>
        <w:tabs>
          <w:tab w:val="left" w:pos="992"/>
        </w:tabs>
        <w:spacing w:line="360" w:lineRule="auto"/>
        <w:ind w:left="567" w:hanging="567"/>
        <w:jc w:val="both"/>
        <w:rPr>
          <w:rFonts w:ascii="David" w:eastAsia="Times New Roman" w:hAnsi="David"/>
          <w:b/>
          <w:bCs/>
          <w:noProof w:val="0"/>
          <w:rtl/>
        </w:rPr>
      </w:pPr>
    </w:p>
    <w:p w:rsidR="00F660FC" w:rsidRDefault="00F660FC" w:rsidP="00F660FC">
      <w:pPr>
        <w:pStyle w:val="2"/>
        <w:numPr>
          <w:ilvl w:val="0"/>
          <w:numId w:val="1"/>
        </w:numPr>
        <w:tabs>
          <w:tab w:val="left" w:pos="992"/>
        </w:tabs>
        <w:spacing w:line="360" w:lineRule="auto"/>
        <w:ind w:left="567" w:hanging="567"/>
        <w:jc w:val="both"/>
        <w:rPr>
          <w:rFonts w:ascii="David" w:eastAsia="Times New Roman" w:hAnsi="David"/>
          <w:b/>
          <w:bCs/>
          <w:noProof w:val="0"/>
          <w:rtl/>
        </w:rPr>
      </w:pPr>
      <w:r>
        <w:rPr>
          <w:rFonts w:ascii="David" w:hAnsi="David"/>
          <w:noProof w:val="0"/>
          <w:rtl/>
        </w:rPr>
        <w:t xml:space="preserve">כדי לבסס לכאורה הגנת תום לב, על הנתבע להוכיח, כי הפרסום נעשה: באחת הנסיבות המנויות בסעיף 15 לחוק ובתחום הסבירות והמדובר בשני תנאים מצטברים זה על זה (ר' בעניין זה </w:t>
      </w:r>
      <w:r>
        <w:rPr>
          <w:rFonts w:ascii="David" w:hAnsi="David"/>
          <w:b/>
          <w:bCs/>
          <w:noProof w:val="0"/>
          <w:rtl/>
        </w:rPr>
        <w:t>א'</w:t>
      </w:r>
      <w:r>
        <w:rPr>
          <w:rFonts w:ascii="David" w:hAnsi="David"/>
          <w:noProof w:val="0"/>
          <w:rtl/>
        </w:rPr>
        <w:t xml:space="preserve"> שנהר , דיני לשון הרע (תשנ"ז) – 1997 </w:t>
      </w:r>
      <w:r>
        <w:rPr>
          <w:rFonts w:ascii="David" w:hAnsi="David"/>
          <w:b/>
          <w:bCs/>
          <w:noProof w:val="0"/>
          <w:rtl/>
        </w:rPr>
        <w:t>שנהר</w:t>
      </w:r>
      <w:r>
        <w:rPr>
          <w:rFonts w:ascii="David" w:hAnsi="David"/>
          <w:noProof w:val="0"/>
          <w:rtl/>
        </w:rPr>
        <w:t xml:space="preserve">, בעמ' 250), אך ככל שתוכיח התובעת אחת משלוש חלופותיו של סעיף 16(ב) לחוק, אזי מתהפכת הקערה על-פיה וקמה חזקה הפוכה, </w:t>
      </w:r>
      <w:r>
        <w:rPr>
          <w:rFonts w:ascii="David" w:hAnsi="David"/>
          <w:noProof w:val="0"/>
          <w:rtl/>
        </w:rPr>
        <w:lastRenderedPageBreak/>
        <w:t xml:space="preserve">שהפרסום נעשה שלא בתום לב, ואם הנתבע אינו סותר  את העובדות עליהן נסמכת חזקה זו, כי אז ימצא חייב בדין. (ר' בעניין זה ע"א 184/89 </w:t>
      </w:r>
      <w:r>
        <w:rPr>
          <w:rFonts w:ascii="David" w:hAnsi="David"/>
          <w:b/>
          <w:bCs/>
          <w:noProof w:val="0"/>
          <w:rtl/>
        </w:rPr>
        <w:t xml:space="preserve">טריגמן נ' טיולי הגליל </w:t>
      </w:r>
      <w:r>
        <w:rPr>
          <w:rFonts w:ascii="David" w:hAnsi="David"/>
          <w:noProof w:val="0"/>
          <w:rtl/>
        </w:rPr>
        <w:t>[פורסם בנבו] (1992).</w:t>
      </w:r>
    </w:p>
    <w:p w:rsidR="00F660FC" w:rsidRDefault="00F660FC" w:rsidP="00F660FC">
      <w:pPr>
        <w:pStyle w:val="2"/>
        <w:spacing w:line="360" w:lineRule="auto"/>
        <w:ind w:left="567" w:hanging="567"/>
        <w:jc w:val="both"/>
        <w:rPr>
          <w:rFonts w:ascii="David" w:hAnsi="David"/>
          <w:noProof w:val="0"/>
          <w:rtl/>
        </w:rPr>
      </w:pPr>
      <w:r>
        <w:rPr>
          <w:rFonts w:ascii="David" w:hAnsi="David"/>
          <w:color w:val="000000"/>
          <w:rtl/>
        </w:rPr>
        <w:tab/>
        <w:t>על התובע חל נטל מוגבר להוכיח כי מגיש התלונה ידע שהוא מגיש תלונת שווא.</w:t>
      </w:r>
      <w:r>
        <w:rPr>
          <w:rFonts w:ascii="David" w:hAnsi="David"/>
          <w:b/>
          <w:bCs/>
          <w:color w:val="000000"/>
          <w:rtl/>
        </w:rPr>
        <w:t> (</w:t>
      </w:r>
      <w:r>
        <w:rPr>
          <w:rFonts w:ascii="David" w:hAnsi="David"/>
          <w:color w:val="000000"/>
          <w:rtl/>
        </w:rPr>
        <w:t xml:space="preserve">ר' </w:t>
      </w:r>
      <w:r>
        <w:rPr>
          <w:rFonts w:ascii="David" w:hAnsi="David"/>
          <w:rtl/>
        </w:rPr>
        <w:t>בג"ץ 6825/06</w:t>
      </w:r>
      <w:r>
        <w:rPr>
          <w:rFonts w:ascii="David" w:hAnsi="David"/>
          <w:b/>
          <w:bCs/>
          <w:color w:val="000000"/>
          <w:rtl/>
        </w:rPr>
        <w:t> צור נ' שטראוס מיום 24.06.09 (פורסם בנבו)</w:t>
      </w:r>
      <w:r>
        <w:rPr>
          <w:rFonts w:ascii="David" w:hAnsi="David"/>
          <w:color w:val="000000"/>
          <w:rtl/>
        </w:rPr>
        <w:t xml:space="preserve">. </w:t>
      </w:r>
    </w:p>
    <w:p w:rsidR="00F660FC" w:rsidRDefault="00F660FC" w:rsidP="00F660FC">
      <w:pPr>
        <w:spacing w:line="360" w:lineRule="auto"/>
        <w:ind w:left="567" w:hanging="567"/>
        <w:jc w:val="both"/>
        <w:rPr>
          <w:rFonts w:ascii="Arial" w:hAnsi="Arial"/>
          <w:b/>
          <w:bCs/>
          <w:noProof w:val="0"/>
          <w:u w:val="single"/>
          <w:rtl/>
        </w:rPr>
      </w:pPr>
    </w:p>
    <w:p w:rsidR="00F660FC" w:rsidRDefault="00F660FC" w:rsidP="009E31C9">
      <w:pPr>
        <w:spacing w:line="360" w:lineRule="auto"/>
        <w:ind w:left="567" w:hanging="567"/>
        <w:jc w:val="both"/>
        <w:rPr>
          <w:rFonts w:ascii="Arial" w:hAnsi="Arial"/>
          <w:b/>
          <w:bCs/>
          <w:noProof w:val="0"/>
          <w:u w:val="single"/>
        </w:rPr>
      </w:pPr>
      <w:r>
        <w:rPr>
          <w:rFonts w:ascii="Arial" w:hAnsi="Arial"/>
          <w:b/>
          <w:bCs/>
          <w:noProof w:val="0"/>
          <w:u w:val="single"/>
          <w:rtl/>
        </w:rPr>
        <w:t>מן הכלל אל הפרט</w:t>
      </w:r>
    </w:p>
    <w:p w:rsidR="00F660FC" w:rsidRDefault="008F0D60" w:rsidP="009E31C9">
      <w:pPr>
        <w:pStyle w:val="ad"/>
        <w:numPr>
          <w:ilvl w:val="0"/>
          <w:numId w:val="1"/>
        </w:numPr>
        <w:spacing w:line="360" w:lineRule="auto"/>
        <w:ind w:left="567" w:hanging="567"/>
        <w:jc w:val="both"/>
        <w:rPr>
          <w:rFonts w:ascii="Arial" w:hAnsi="Arial"/>
          <w:noProof w:val="0"/>
        </w:rPr>
      </w:pPr>
      <w:r w:rsidRPr="001C6B21">
        <w:rPr>
          <w:rFonts w:ascii="Arial" w:hAnsi="Arial" w:hint="cs"/>
          <w:noProof w:val="0"/>
          <w:rtl/>
        </w:rPr>
        <w:t>ל</w:t>
      </w:r>
      <w:r w:rsidR="00F660FC" w:rsidRPr="001C6B21">
        <w:rPr>
          <w:rFonts w:ascii="Arial" w:hAnsi="Arial"/>
          <w:noProof w:val="0"/>
          <w:rtl/>
        </w:rPr>
        <w:t xml:space="preserve">אחר עיון בכלל המידע שהונח לפניי ובראי הפסיקה המפורטת לעיל באתי לכלל מסקנה כי דין התביעה להידחות. </w:t>
      </w:r>
    </w:p>
    <w:p w:rsidR="009E31C9" w:rsidRDefault="009E31C9" w:rsidP="009E31C9">
      <w:pPr>
        <w:pStyle w:val="ad"/>
        <w:spacing w:line="360" w:lineRule="auto"/>
        <w:ind w:left="567"/>
        <w:jc w:val="both"/>
        <w:rPr>
          <w:rFonts w:ascii="Arial" w:hAnsi="Arial"/>
          <w:noProof w:val="0"/>
        </w:rPr>
      </w:pPr>
      <w:r>
        <w:rPr>
          <w:rFonts w:ascii="Arial" w:hAnsi="Arial" w:hint="cs"/>
          <w:noProof w:val="0"/>
          <w:rtl/>
        </w:rPr>
        <w:t xml:space="preserve"> </w:t>
      </w:r>
    </w:p>
    <w:p w:rsidR="009E31C9" w:rsidRDefault="009E31C9" w:rsidP="009E31C9">
      <w:pPr>
        <w:pStyle w:val="ad"/>
        <w:numPr>
          <w:ilvl w:val="0"/>
          <w:numId w:val="1"/>
        </w:numPr>
        <w:spacing w:line="360" w:lineRule="auto"/>
        <w:ind w:left="567" w:hanging="567"/>
        <w:jc w:val="both"/>
        <w:rPr>
          <w:rFonts w:ascii="Arial" w:hAnsi="Arial"/>
          <w:noProof w:val="0"/>
        </w:rPr>
      </w:pPr>
      <w:r w:rsidRPr="009E31C9">
        <w:rPr>
          <w:rFonts w:ascii="Arial" w:hAnsi="Arial"/>
          <w:noProof w:val="0"/>
          <w:rtl/>
        </w:rPr>
        <w:t xml:space="preserve">התובע לא צלח להוכיח כי מדובר בתלונות אשר הוגשו ממניעים זרים ופסולים, בחוסר תם לב ומתוך </w:t>
      </w:r>
      <w:r w:rsidRPr="009E31C9">
        <w:rPr>
          <w:rFonts w:ascii="Arial" w:hAnsi="Arial" w:hint="cs"/>
          <w:noProof w:val="0"/>
          <w:rtl/>
        </w:rPr>
        <w:t>ידיעה כי במדובר בתלונות שווא.</w:t>
      </w:r>
    </w:p>
    <w:p w:rsidR="009E31C9" w:rsidRPr="009E31C9" w:rsidRDefault="009E31C9" w:rsidP="009E31C9">
      <w:pPr>
        <w:pStyle w:val="ad"/>
        <w:spacing w:line="360" w:lineRule="auto"/>
        <w:rPr>
          <w:rFonts w:ascii="Arial" w:hAnsi="Arial"/>
          <w:noProof w:val="0"/>
          <w:rtl/>
        </w:rPr>
      </w:pPr>
    </w:p>
    <w:p w:rsidR="00F660FC" w:rsidRDefault="009E31C9" w:rsidP="009E31C9">
      <w:pPr>
        <w:pStyle w:val="ad"/>
        <w:numPr>
          <w:ilvl w:val="0"/>
          <w:numId w:val="1"/>
        </w:numPr>
        <w:spacing w:line="360" w:lineRule="auto"/>
        <w:ind w:left="567" w:hanging="567"/>
        <w:jc w:val="both"/>
        <w:rPr>
          <w:rFonts w:ascii="Arial" w:hAnsi="Arial"/>
          <w:noProof w:val="0"/>
        </w:rPr>
      </w:pPr>
      <w:r>
        <w:rPr>
          <w:rFonts w:ascii="Arial" w:hAnsi="Arial" w:hint="cs"/>
          <w:noProof w:val="0"/>
          <w:rtl/>
        </w:rPr>
        <w:t>ב</w:t>
      </w:r>
      <w:r w:rsidR="00F660FC">
        <w:rPr>
          <w:rFonts w:ascii="Arial" w:hAnsi="Arial"/>
          <w:noProof w:val="0"/>
          <w:rtl/>
        </w:rPr>
        <w:t xml:space="preserve">ין הצדדים מתנהל סכסוך ארוך ימים המערב באופן מועצם את עניינו של הקטין. כלל ההליכים </w:t>
      </w:r>
      <w:r w:rsidR="006A3FA1">
        <w:rPr>
          <w:rFonts w:ascii="Arial" w:hAnsi="Arial" w:hint="cs"/>
          <w:noProof w:val="0"/>
          <w:rtl/>
        </w:rPr>
        <w:t xml:space="preserve">בעניין הקטין </w:t>
      </w:r>
      <w:r w:rsidR="00F660FC">
        <w:rPr>
          <w:rFonts w:ascii="Arial" w:hAnsi="Arial"/>
          <w:noProof w:val="0"/>
          <w:rtl/>
        </w:rPr>
        <w:t>התקיימו בפני בית הדין הרבני במסגרת זו גם הוגשו תסקירים וחוו"ד אשר לא הונחו לפני בימ"ש.</w:t>
      </w:r>
      <w:r>
        <w:rPr>
          <w:rFonts w:ascii="Arial" w:hAnsi="Arial" w:hint="cs"/>
          <w:noProof w:val="0"/>
          <w:rtl/>
        </w:rPr>
        <w:t xml:space="preserve"> ברם, </w:t>
      </w:r>
      <w:r w:rsidR="00F660FC">
        <w:rPr>
          <w:rFonts w:ascii="Arial" w:hAnsi="Arial"/>
          <w:noProof w:val="0"/>
          <w:rtl/>
        </w:rPr>
        <w:t>התובע לא הכחיש כי נכון למועד זה ובהתאם לקביעת בית הדין הרבני</w:t>
      </w:r>
      <w:r w:rsidR="006A3FA1">
        <w:rPr>
          <w:rFonts w:ascii="Arial" w:hAnsi="Arial" w:hint="cs"/>
          <w:noProof w:val="0"/>
          <w:rtl/>
        </w:rPr>
        <w:t xml:space="preserve"> הוא</w:t>
      </w:r>
      <w:r w:rsidR="00F660FC">
        <w:rPr>
          <w:rFonts w:ascii="Arial" w:hAnsi="Arial"/>
          <w:noProof w:val="0"/>
          <w:rtl/>
        </w:rPr>
        <w:t xml:space="preserve"> פוגש את הקטין באופן מצומצם בלבד, פעם בשבוע למשך שעתיים ללא לינה.</w:t>
      </w:r>
    </w:p>
    <w:p w:rsidR="00FC1CBF" w:rsidRPr="00FC1CBF" w:rsidRDefault="00FC1CBF" w:rsidP="009E31C9">
      <w:pPr>
        <w:pStyle w:val="ad"/>
        <w:spacing w:line="360" w:lineRule="auto"/>
        <w:rPr>
          <w:rFonts w:ascii="Arial" w:hAnsi="Arial"/>
          <w:noProof w:val="0"/>
          <w:rtl/>
        </w:rPr>
      </w:pPr>
    </w:p>
    <w:p w:rsidR="00F660FC" w:rsidRDefault="00F660FC" w:rsidP="00865199">
      <w:pPr>
        <w:pStyle w:val="ad"/>
        <w:numPr>
          <w:ilvl w:val="0"/>
          <w:numId w:val="1"/>
        </w:numPr>
        <w:spacing w:line="360" w:lineRule="auto"/>
        <w:ind w:left="567" w:hanging="567"/>
        <w:jc w:val="both"/>
        <w:rPr>
          <w:rFonts w:ascii="Arial" w:hAnsi="Arial"/>
          <w:noProof w:val="0"/>
        </w:rPr>
      </w:pPr>
      <w:r w:rsidRPr="006A3FA1">
        <w:rPr>
          <w:rFonts w:ascii="Arial" w:hAnsi="Arial"/>
          <w:noProof w:val="0"/>
          <w:rtl/>
        </w:rPr>
        <w:lastRenderedPageBreak/>
        <w:t xml:space="preserve">תיקי החקירה לא הוצגו לעיון ביהמ"ש וגם לא התבקש להציגם. בהעדרה של ראיה בסיסית זו לא ניתן להסיק כל ממצא הכרוך אחר תוכן התלונות והנימוק לסגירת התיקים. </w:t>
      </w:r>
      <w:r w:rsidR="00865199">
        <w:rPr>
          <w:rFonts w:ascii="Arial" w:hAnsi="Arial" w:hint="cs"/>
          <w:noProof w:val="0"/>
          <w:rtl/>
        </w:rPr>
        <w:t xml:space="preserve">בהקשר זה גם </w:t>
      </w:r>
      <w:r w:rsidR="006A3FA1" w:rsidRPr="006A3FA1">
        <w:rPr>
          <w:rFonts w:ascii="Arial" w:hAnsi="Arial" w:hint="cs"/>
          <w:noProof w:val="0"/>
          <w:rtl/>
        </w:rPr>
        <w:t xml:space="preserve">לא </w:t>
      </w:r>
      <w:r w:rsidR="00865199">
        <w:rPr>
          <w:rFonts w:ascii="Arial" w:hAnsi="Arial" w:hint="cs"/>
          <w:noProof w:val="0"/>
          <w:rtl/>
        </w:rPr>
        <w:t>נמצא</w:t>
      </w:r>
      <w:r w:rsidR="006A3FA1" w:rsidRPr="006A3FA1">
        <w:rPr>
          <w:rFonts w:ascii="Arial" w:hAnsi="Arial" w:hint="cs"/>
          <w:noProof w:val="0"/>
          <w:rtl/>
        </w:rPr>
        <w:t xml:space="preserve"> כל ממש ב</w:t>
      </w:r>
      <w:r w:rsidRPr="006A3FA1">
        <w:rPr>
          <w:rFonts w:ascii="Arial" w:hAnsi="Arial"/>
          <w:noProof w:val="0"/>
          <w:rtl/>
        </w:rPr>
        <w:t>טענת התובע לפיה משטרת ישראל מצאה לקבוע כי הנתבעת הגישה תלונה כוזבת כשהוא נסמך על תיאור העבירה ברשימת התיקים הסגורים במקום על עילת הסגירה(צורף כנספח ב' לת</w:t>
      </w:r>
      <w:r w:rsidR="00184395">
        <w:rPr>
          <w:rFonts w:ascii="Arial" w:hAnsi="Arial" w:hint="cs"/>
          <w:noProof w:val="0"/>
          <w:rtl/>
        </w:rPr>
        <w:t>צהיר עדות ראשית</w:t>
      </w:r>
      <w:r w:rsidRPr="006A3FA1">
        <w:rPr>
          <w:rFonts w:ascii="Arial" w:hAnsi="Arial"/>
          <w:noProof w:val="0"/>
          <w:rtl/>
        </w:rPr>
        <w:t>).</w:t>
      </w:r>
      <w:r w:rsidR="006A3FA1" w:rsidRPr="006A3FA1">
        <w:rPr>
          <w:rFonts w:ascii="Arial" w:hAnsi="Arial"/>
          <w:noProof w:val="0"/>
          <w:rtl/>
        </w:rPr>
        <w:t xml:space="preserve"> </w:t>
      </w:r>
    </w:p>
    <w:p w:rsidR="006A3FA1" w:rsidRPr="006A3FA1" w:rsidRDefault="006A3FA1" w:rsidP="009E31C9">
      <w:pPr>
        <w:pStyle w:val="ad"/>
        <w:spacing w:line="360" w:lineRule="auto"/>
        <w:rPr>
          <w:rFonts w:ascii="Arial" w:hAnsi="Arial"/>
          <w:noProof w:val="0"/>
          <w:rtl/>
        </w:rPr>
      </w:pPr>
    </w:p>
    <w:p w:rsidR="00F660FC" w:rsidRDefault="00F660FC" w:rsidP="00F93D6D">
      <w:pPr>
        <w:pStyle w:val="ad"/>
        <w:numPr>
          <w:ilvl w:val="0"/>
          <w:numId w:val="1"/>
        </w:numPr>
        <w:spacing w:line="360" w:lineRule="auto"/>
        <w:ind w:left="567" w:hanging="567"/>
        <w:jc w:val="both"/>
        <w:rPr>
          <w:rFonts w:ascii="Arial" w:hAnsi="Arial"/>
          <w:noProof w:val="0"/>
        </w:rPr>
      </w:pPr>
      <w:r>
        <w:rPr>
          <w:rFonts w:ascii="Arial" w:hAnsi="Arial"/>
          <w:noProof w:val="0"/>
          <w:rtl/>
        </w:rPr>
        <w:t xml:space="preserve">נכונים הדברים גם וביחס לתלונה שנוגעת </w:t>
      </w:r>
      <w:r w:rsidR="00334F73">
        <w:rPr>
          <w:rFonts w:ascii="Arial" w:hAnsi="Arial" w:hint="cs"/>
          <w:noProof w:val="0"/>
          <w:rtl/>
        </w:rPr>
        <w:t xml:space="preserve">למעשה מגונה </w:t>
      </w:r>
      <w:r>
        <w:rPr>
          <w:rFonts w:ascii="Arial" w:hAnsi="Arial"/>
          <w:noProof w:val="0"/>
          <w:rtl/>
        </w:rPr>
        <w:t xml:space="preserve">לה התובע ייחד עיקר טיעוניו. אף שאין בידי לקבוע כל ממצא עובדתי בקשר עם הנסיבות שקדמו להגשת התלונה, הרי שלא שוכנעתי כי עצם פנייתה של הנתבעת למשטרת ישראל בהקשר זה נעשתה בחוסר תום לב ומתוך כוונת זדון </w:t>
      </w:r>
      <w:r w:rsidR="00F93D6D">
        <w:rPr>
          <w:rFonts w:ascii="Arial" w:hAnsi="Arial" w:hint="cs"/>
          <w:noProof w:val="0"/>
          <w:rtl/>
        </w:rPr>
        <w:t xml:space="preserve">להרחיק את התובע </w:t>
      </w:r>
      <w:r>
        <w:rPr>
          <w:rFonts w:ascii="Arial" w:hAnsi="Arial"/>
          <w:noProof w:val="0"/>
          <w:rtl/>
        </w:rPr>
        <w:t>מהקטין.</w:t>
      </w:r>
    </w:p>
    <w:p w:rsidR="00F660FC" w:rsidRDefault="00F660FC" w:rsidP="00F660FC">
      <w:pPr>
        <w:pStyle w:val="ad"/>
        <w:rPr>
          <w:rFonts w:ascii="Arial" w:hAnsi="Arial"/>
          <w:noProof w:val="0"/>
          <w:rtl/>
        </w:rPr>
      </w:pPr>
    </w:p>
    <w:p w:rsidR="00F660FC" w:rsidRDefault="001C6B21" w:rsidP="00B3531F">
      <w:pPr>
        <w:pStyle w:val="ad"/>
        <w:numPr>
          <w:ilvl w:val="0"/>
          <w:numId w:val="1"/>
        </w:numPr>
        <w:spacing w:line="360" w:lineRule="auto"/>
        <w:ind w:left="509" w:hanging="567"/>
        <w:jc w:val="both"/>
        <w:rPr>
          <w:rFonts w:ascii="Arial" w:hAnsi="Arial"/>
          <w:noProof w:val="0"/>
        </w:rPr>
      </w:pPr>
      <w:r>
        <w:rPr>
          <w:rFonts w:ascii="Arial" w:hAnsi="Arial" w:hint="cs"/>
          <w:noProof w:val="0"/>
          <w:rtl/>
        </w:rPr>
        <w:t xml:space="preserve">נכון הוא כי </w:t>
      </w:r>
      <w:r w:rsidR="00F660FC">
        <w:rPr>
          <w:rFonts w:ascii="Arial" w:hAnsi="Arial"/>
          <w:noProof w:val="0"/>
          <w:rtl/>
        </w:rPr>
        <w:t xml:space="preserve">הנתבעת כשלה במתן הסבר מבורר לגבי ציר הזמן בכל הקשור למועד הגשת התלונה אל מול גרסתה בפני בית הדין הרבני בדיון בצו הגנה מיום 29.6.21 ביחס למועד בו שמעה מהקטין דבר קיומה של התנהגות מינית חריגה לכאורה מצד התובע. (פרוטוקול דיון צורף לתביעה). ברם, על רצף האירועים והמחלוקות שבין הצדדים וברקע מצבו הרגשי המורכב של הקטין המשתקף גם בדוח מסכם של הפסיכולגית הגב' </w:t>
      </w:r>
      <w:r w:rsidR="00B3531F">
        <w:rPr>
          <w:rFonts w:ascii="Arial" w:hAnsi="Arial" w:hint="cs"/>
          <w:noProof w:val="0"/>
          <w:rtl/>
        </w:rPr>
        <w:t>***</w:t>
      </w:r>
      <w:r w:rsidR="00F660FC">
        <w:rPr>
          <w:rFonts w:ascii="Arial" w:hAnsi="Arial"/>
          <w:noProof w:val="0"/>
          <w:rtl/>
        </w:rPr>
        <w:t xml:space="preserve">, </w:t>
      </w:r>
      <w:r w:rsidR="005B6130">
        <w:rPr>
          <w:rFonts w:ascii="Arial" w:hAnsi="Arial" w:hint="cs"/>
          <w:noProof w:val="0"/>
          <w:rtl/>
        </w:rPr>
        <w:t>הקובע בין היתר כי הקטין סבל "</w:t>
      </w:r>
      <w:r w:rsidR="008F0D60">
        <w:rPr>
          <w:rFonts w:ascii="Arial" w:hAnsi="Arial" w:hint="cs"/>
          <w:noProof w:val="0"/>
          <w:rtl/>
        </w:rPr>
        <w:t>..</w:t>
      </w:r>
      <w:r w:rsidR="005B6130">
        <w:rPr>
          <w:rFonts w:ascii="Arial" w:hAnsi="Arial" w:hint="cs"/>
          <w:noProof w:val="0"/>
          <w:rtl/>
        </w:rPr>
        <w:t xml:space="preserve">ממחשבות חזרתיות טורדניות בעלות תכנים מיניים אשר הפריעו באופן ממשי לתפקודו בחיי היום יום הן בבית </w:t>
      </w:r>
      <w:r w:rsidR="008F0D60">
        <w:rPr>
          <w:rFonts w:ascii="Arial" w:hAnsi="Arial" w:hint="cs"/>
          <w:noProof w:val="0"/>
          <w:rtl/>
        </w:rPr>
        <w:t>והן בבית הספר .."</w:t>
      </w:r>
      <w:r w:rsidR="008F0D60" w:rsidRPr="008F0D60">
        <w:rPr>
          <w:rFonts w:ascii="Arial" w:hAnsi="Arial"/>
          <w:noProof w:val="0"/>
          <w:rtl/>
        </w:rPr>
        <w:t xml:space="preserve"> </w:t>
      </w:r>
      <w:r w:rsidR="008F0D60">
        <w:rPr>
          <w:rFonts w:ascii="Arial" w:hAnsi="Arial"/>
          <w:noProof w:val="0"/>
          <w:rtl/>
        </w:rPr>
        <w:t>(</w:t>
      </w:r>
      <w:r w:rsidR="008F0D60">
        <w:rPr>
          <w:rFonts w:ascii="Arial" w:hAnsi="Arial" w:hint="cs"/>
          <w:noProof w:val="0"/>
          <w:rtl/>
        </w:rPr>
        <w:t xml:space="preserve"> ר' </w:t>
      </w:r>
      <w:r w:rsidR="008F0D60">
        <w:rPr>
          <w:rFonts w:ascii="Arial" w:hAnsi="Arial"/>
          <w:noProof w:val="0"/>
          <w:rtl/>
        </w:rPr>
        <w:t>נספח 1 לכתב ההגנה)</w:t>
      </w:r>
      <w:r w:rsidR="008F0D60">
        <w:rPr>
          <w:rFonts w:ascii="Arial" w:hAnsi="Arial" w:hint="cs"/>
          <w:noProof w:val="0"/>
          <w:rtl/>
        </w:rPr>
        <w:t xml:space="preserve">, </w:t>
      </w:r>
      <w:r w:rsidR="00F660FC">
        <w:rPr>
          <w:rFonts w:ascii="Arial" w:hAnsi="Arial"/>
          <w:noProof w:val="0"/>
          <w:rtl/>
        </w:rPr>
        <w:t xml:space="preserve">אין בידי להסיק כי תמיהה זו מובילה בהכרח למסקנה כי הנתבעת </w:t>
      </w:r>
      <w:r w:rsidR="008F0D60">
        <w:rPr>
          <w:rFonts w:ascii="Arial" w:hAnsi="Arial" w:hint="cs"/>
          <w:noProof w:val="0"/>
          <w:rtl/>
        </w:rPr>
        <w:t>פעלה בחוסר תם לב עת הגישה את התלונה</w:t>
      </w:r>
      <w:r w:rsidR="00F660FC">
        <w:rPr>
          <w:rFonts w:ascii="Arial" w:hAnsi="Arial"/>
          <w:noProof w:val="0"/>
          <w:rtl/>
        </w:rPr>
        <w:t>. יש עוד לציין כי בתום הדיון מצא בית הדין לנכון להורות על הרחקתו של התובע מהקטין, ועל החלטה זו לא הוגש ערעור.</w:t>
      </w:r>
    </w:p>
    <w:p w:rsidR="00F660FC" w:rsidRDefault="00F660FC" w:rsidP="00F660FC">
      <w:pPr>
        <w:pStyle w:val="ad"/>
        <w:ind w:left="567" w:hanging="567"/>
        <w:rPr>
          <w:rFonts w:ascii="Arial" w:hAnsi="Arial"/>
          <w:noProof w:val="0"/>
          <w:rtl/>
        </w:rPr>
      </w:pPr>
    </w:p>
    <w:p w:rsidR="00F660FC" w:rsidRDefault="00F660FC" w:rsidP="00FC1CBF">
      <w:pPr>
        <w:pStyle w:val="ad"/>
        <w:numPr>
          <w:ilvl w:val="0"/>
          <w:numId w:val="1"/>
        </w:numPr>
        <w:spacing w:line="360" w:lineRule="auto"/>
        <w:ind w:left="567" w:hanging="567"/>
        <w:jc w:val="both"/>
        <w:rPr>
          <w:rFonts w:ascii="Arial" w:hAnsi="Arial"/>
          <w:noProof w:val="0"/>
          <w:rtl/>
        </w:rPr>
      </w:pPr>
      <w:r>
        <w:rPr>
          <w:rFonts w:ascii="Arial" w:hAnsi="Arial"/>
          <w:noProof w:val="0"/>
          <w:rtl/>
        </w:rPr>
        <w:lastRenderedPageBreak/>
        <w:t xml:space="preserve">זאת ועוד, התובע </w:t>
      </w:r>
      <w:r w:rsidR="00FC1CBF">
        <w:rPr>
          <w:rFonts w:ascii="Arial" w:hAnsi="Arial" w:hint="cs"/>
          <w:noProof w:val="0"/>
          <w:rtl/>
        </w:rPr>
        <w:t>אישר</w:t>
      </w:r>
      <w:r>
        <w:rPr>
          <w:rFonts w:ascii="Arial" w:hAnsi="Arial"/>
          <w:noProof w:val="0"/>
          <w:rtl/>
        </w:rPr>
        <w:t xml:space="preserve"> כי הגיש בעצמו תלונות רבות </w:t>
      </w:r>
      <w:r w:rsidR="00FC1CBF">
        <w:rPr>
          <w:rFonts w:ascii="Arial" w:hAnsi="Arial" w:hint="cs"/>
          <w:noProof w:val="0"/>
          <w:rtl/>
        </w:rPr>
        <w:t xml:space="preserve">במשטרה כנגד הנתבעת </w:t>
      </w:r>
      <w:r>
        <w:rPr>
          <w:rFonts w:ascii="Arial" w:hAnsi="Arial"/>
          <w:noProof w:val="0"/>
          <w:rtl/>
        </w:rPr>
        <w:t xml:space="preserve">בגין הפרת הוראה חוקית </w:t>
      </w:r>
      <w:r w:rsidR="00FC1CBF">
        <w:rPr>
          <w:rFonts w:ascii="Arial" w:hAnsi="Arial" w:hint="cs"/>
          <w:noProof w:val="0"/>
          <w:rtl/>
        </w:rPr>
        <w:t>ב</w:t>
      </w:r>
      <w:r>
        <w:rPr>
          <w:rFonts w:ascii="Arial" w:hAnsi="Arial"/>
          <w:noProof w:val="0"/>
          <w:rtl/>
        </w:rPr>
        <w:t xml:space="preserve">טענה כי זו מפרה זמני השהות של הקטין עמו. התובע לא צלח לבאר מהו ההבדל בין פעולותיו אלה לבין הגשת התלונות ע"י הנתבעת עצמה. על פי אותו היגיון, מקום בו ייקבע כי בעצם הגשת תלונותיה </w:t>
      </w:r>
      <w:r w:rsidR="00FC1CBF">
        <w:rPr>
          <w:rFonts w:ascii="Arial" w:hAnsi="Arial" w:hint="cs"/>
          <w:noProof w:val="0"/>
          <w:rtl/>
        </w:rPr>
        <w:t xml:space="preserve">בהקשר זה </w:t>
      </w:r>
      <w:r>
        <w:rPr>
          <w:rFonts w:ascii="Arial" w:hAnsi="Arial"/>
          <w:noProof w:val="0"/>
          <w:rtl/>
        </w:rPr>
        <w:t xml:space="preserve"> עוולה הנתבעת כלפי התובע בלשון הרע, </w:t>
      </w:r>
      <w:r w:rsidR="00334F73">
        <w:rPr>
          <w:rFonts w:ascii="Arial" w:hAnsi="Arial" w:hint="cs"/>
          <w:noProof w:val="0"/>
          <w:rtl/>
        </w:rPr>
        <w:t>הרי</w:t>
      </w:r>
      <w:r>
        <w:rPr>
          <w:rFonts w:ascii="Arial" w:hAnsi="Arial"/>
          <w:noProof w:val="0"/>
          <w:rtl/>
        </w:rPr>
        <w:t xml:space="preserve"> תתבקש </w:t>
      </w:r>
      <w:r w:rsidR="001E733D">
        <w:rPr>
          <w:rFonts w:ascii="Arial" w:hAnsi="Arial" w:hint="cs"/>
          <w:noProof w:val="0"/>
          <w:rtl/>
        </w:rPr>
        <w:t xml:space="preserve">על פניו אותה מסקנה </w:t>
      </w:r>
      <w:r>
        <w:rPr>
          <w:rFonts w:ascii="Arial" w:hAnsi="Arial"/>
          <w:noProof w:val="0"/>
          <w:rtl/>
        </w:rPr>
        <w:t>גם ביחס להגשת תלונות התובע עצמו.</w:t>
      </w:r>
    </w:p>
    <w:p w:rsidR="00F660FC" w:rsidRDefault="00F660FC" w:rsidP="00F660FC">
      <w:pPr>
        <w:pStyle w:val="ad"/>
        <w:ind w:left="567" w:hanging="567"/>
        <w:rPr>
          <w:rFonts w:ascii="Arial" w:hAnsi="Arial"/>
          <w:noProof w:val="0"/>
          <w:rtl/>
        </w:rPr>
      </w:pPr>
    </w:p>
    <w:p w:rsidR="00F660FC" w:rsidRDefault="00F660FC" w:rsidP="00F660FC">
      <w:pPr>
        <w:pStyle w:val="ad"/>
        <w:numPr>
          <w:ilvl w:val="0"/>
          <w:numId w:val="1"/>
        </w:numPr>
        <w:spacing w:line="360" w:lineRule="auto"/>
        <w:ind w:left="567" w:hanging="567"/>
        <w:jc w:val="both"/>
        <w:rPr>
          <w:rFonts w:ascii="Arial" w:hAnsi="Arial"/>
          <w:noProof w:val="0"/>
        </w:rPr>
      </w:pPr>
      <w:r>
        <w:rPr>
          <w:rFonts w:ascii="Arial" w:hAnsi="Arial"/>
          <w:noProof w:val="0"/>
          <w:rtl/>
        </w:rPr>
        <w:t xml:space="preserve">כך ואחרת, לא הוצגה לפניי כל ראיה ממנה ניתן להסיק כי האחריות למצב שנוצר בכל הקשור לטיב הקשר שבין האב לקטין מקורה בהתנהלות הנתבעת דווקא. </w:t>
      </w:r>
    </w:p>
    <w:p w:rsidR="00F660FC" w:rsidRDefault="00F660FC" w:rsidP="00F660FC">
      <w:pPr>
        <w:pStyle w:val="ad"/>
        <w:ind w:left="567" w:hanging="567"/>
        <w:rPr>
          <w:rFonts w:ascii="Arial" w:hAnsi="Arial"/>
          <w:noProof w:val="0"/>
          <w:rtl/>
        </w:rPr>
      </w:pPr>
    </w:p>
    <w:p w:rsidR="00F660FC" w:rsidRDefault="00F660FC" w:rsidP="000F192C">
      <w:pPr>
        <w:pStyle w:val="ad"/>
        <w:numPr>
          <w:ilvl w:val="0"/>
          <w:numId w:val="1"/>
        </w:numPr>
        <w:spacing w:line="360" w:lineRule="auto"/>
        <w:ind w:left="567" w:hanging="567"/>
        <w:jc w:val="both"/>
        <w:rPr>
          <w:rFonts w:ascii="Arial" w:hAnsi="Arial"/>
          <w:noProof w:val="0"/>
        </w:rPr>
      </w:pPr>
      <w:r>
        <w:rPr>
          <w:rFonts w:ascii="Arial" w:hAnsi="Arial"/>
          <w:noProof w:val="0"/>
          <w:rtl/>
        </w:rPr>
        <w:t xml:space="preserve">במחלוקת </w:t>
      </w:r>
      <w:r w:rsidR="00FC1CBF">
        <w:rPr>
          <w:rFonts w:ascii="Arial" w:hAnsi="Arial" w:hint="cs"/>
          <w:noProof w:val="0"/>
          <w:rtl/>
        </w:rPr>
        <w:t xml:space="preserve">החריפה </w:t>
      </w:r>
      <w:r>
        <w:rPr>
          <w:rFonts w:ascii="Arial" w:hAnsi="Arial"/>
          <w:noProof w:val="0"/>
          <w:rtl/>
        </w:rPr>
        <w:t xml:space="preserve">שנפלה בין הצדדים </w:t>
      </w:r>
      <w:r w:rsidR="00FC1CBF">
        <w:rPr>
          <w:rFonts w:ascii="Arial" w:hAnsi="Arial" w:hint="cs"/>
          <w:noProof w:val="0"/>
          <w:rtl/>
        </w:rPr>
        <w:t xml:space="preserve">ביחס לקיום זמני השהות </w:t>
      </w:r>
      <w:r>
        <w:rPr>
          <w:rFonts w:ascii="Arial" w:hAnsi="Arial"/>
          <w:noProof w:val="0"/>
          <w:rtl/>
        </w:rPr>
        <w:t>אין בידי לקבוע ממצא עובדתי פוזיטיבי לטובת אחד הצדדים בלבד.</w:t>
      </w:r>
    </w:p>
    <w:p w:rsidR="00F660FC" w:rsidRDefault="00F660FC" w:rsidP="00F660FC">
      <w:pPr>
        <w:pStyle w:val="ad"/>
        <w:ind w:left="567" w:hanging="567"/>
        <w:rPr>
          <w:rFonts w:ascii="Arial" w:hAnsi="Arial"/>
          <w:noProof w:val="0"/>
          <w:rtl/>
        </w:rPr>
      </w:pPr>
    </w:p>
    <w:p w:rsidR="00F660FC" w:rsidRDefault="00F93D6D" w:rsidP="00F93D6D">
      <w:pPr>
        <w:pStyle w:val="ad"/>
        <w:numPr>
          <w:ilvl w:val="0"/>
          <w:numId w:val="1"/>
        </w:numPr>
        <w:shd w:val="clear" w:color="auto" w:fill="FFFFFF"/>
        <w:spacing w:line="360" w:lineRule="auto"/>
        <w:ind w:left="567" w:hanging="567"/>
        <w:jc w:val="both"/>
        <w:rPr>
          <w:rFonts w:ascii="David" w:hAnsi="David"/>
          <w:noProof w:val="0"/>
        </w:rPr>
      </w:pPr>
      <w:r>
        <w:rPr>
          <w:rFonts w:ascii="David" w:hAnsi="David" w:hint="cs"/>
          <w:noProof w:val="0"/>
          <w:rtl/>
        </w:rPr>
        <w:t>גם</w:t>
      </w:r>
      <w:r w:rsidR="00FC1CBF">
        <w:rPr>
          <w:rFonts w:ascii="David" w:hAnsi="David" w:hint="cs"/>
          <w:noProof w:val="0"/>
          <w:rtl/>
        </w:rPr>
        <w:t xml:space="preserve"> </w:t>
      </w:r>
      <w:r w:rsidR="00F660FC">
        <w:rPr>
          <w:rFonts w:ascii="David" w:hAnsi="David"/>
          <w:noProof w:val="0"/>
          <w:rtl/>
        </w:rPr>
        <w:t>טענת התובע בקשר להפצת הפרסום ע"י הנתבעת למי ממכריה לא הוכחה כל עיקר. התובע לא זימן לעדות</w:t>
      </w:r>
      <w:r w:rsidR="000F192C">
        <w:rPr>
          <w:rFonts w:ascii="David" w:hAnsi="David"/>
          <w:noProof w:val="0"/>
          <w:rtl/>
        </w:rPr>
        <w:t xml:space="preserve"> אף לא גורם אחד לתמיכה בטענה זו</w:t>
      </w:r>
      <w:r w:rsidR="000F192C">
        <w:rPr>
          <w:rFonts w:ascii="David" w:hAnsi="David" w:hint="cs"/>
          <w:noProof w:val="0"/>
          <w:rtl/>
        </w:rPr>
        <w:t>,</w:t>
      </w:r>
      <w:r w:rsidR="00F660FC">
        <w:rPr>
          <w:rFonts w:ascii="David" w:hAnsi="David"/>
          <w:noProof w:val="0"/>
          <w:rtl/>
        </w:rPr>
        <w:t xml:space="preserve"> לא הוצגה </w:t>
      </w:r>
      <w:r>
        <w:rPr>
          <w:rFonts w:ascii="David" w:hAnsi="David" w:hint="cs"/>
          <w:noProof w:val="0"/>
          <w:rtl/>
        </w:rPr>
        <w:t xml:space="preserve">כל </w:t>
      </w:r>
      <w:r w:rsidR="00F660FC">
        <w:rPr>
          <w:rFonts w:ascii="David" w:hAnsi="David"/>
          <w:noProof w:val="0"/>
          <w:rtl/>
        </w:rPr>
        <w:t>ראיה</w:t>
      </w:r>
      <w:r>
        <w:rPr>
          <w:rFonts w:ascii="David" w:hAnsi="David" w:hint="cs"/>
          <w:noProof w:val="0"/>
          <w:rtl/>
        </w:rPr>
        <w:t xml:space="preserve"> </w:t>
      </w:r>
      <w:r w:rsidR="00F660FC">
        <w:rPr>
          <w:rFonts w:ascii="David" w:hAnsi="David"/>
          <w:noProof w:val="0"/>
          <w:rtl/>
        </w:rPr>
        <w:t xml:space="preserve">המלמדת כי כך הם פני הדברים. טענה זו </w:t>
      </w:r>
      <w:r w:rsidR="000F192C">
        <w:rPr>
          <w:rFonts w:ascii="David" w:hAnsi="David" w:hint="cs"/>
          <w:noProof w:val="0"/>
          <w:rtl/>
        </w:rPr>
        <w:t xml:space="preserve">אף </w:t>
      </w:r>
      <w:r w:rsidR="00F660FC">
        <w:rPr>
          <w:rFonts w:ascii="David" w:hAnsi="David"/>
          <w:noProof w:val="0"/>
          <w:rtl/>
        </w:rPr>
        <w:t xml:space="preserve">לא מצאה ביטויה במסגרת כתב התביעה אלא במסגרת תצהיר עדות ראשית בלבד ומבלי שהוצג כל נימוק </w:t>
      </w:r>
      <w:r w:rsidR="001E733D">
        <w:rPr>
          <w:rFonts w:ascii="David" w:hAnsi="David" w:hint="cs"/>
          <w:noProof w:val="0"/>
          <w:rtl/>
        </w:rPr>
        <w:t>להרחבת החזית</w:t>
      </w:r>
      <w:r w:rsidR="00F660FC">
        <w:rPr>
          <w:rFonts w:ascii="David" w:hAnsi="David"/>
          <w:noProof w:val="0"/>
          <w:rtl/>
        </w:rPr>
        <w:t>.</w:t>
      </w:r>
    </w:p>
    <w:p w:rsidR="000F192C" w:rsidRDefault="000F192C" w:rsidP="000F192C">
      <w:pPr>
        <w:pStyle w:val="ad"/>
        <w:shd w:val="clear" w:color="auto" w:fill="FFFFFF"/>
        <w:spacing w:line="360" w:lineRule="auto"/>
        <w:ind w:left="567"/>
        <w:jc w:val="both"/>
        <w:rPr>
          <w:rFonts w:ascii="David" w:hAnsi="David"/>
          <w:noProof w:val="0"/>
          <w:rtl/>
        </w:rPr>
      </w:pPr>
    </w:p>
    <w:p w:rsidR="00F660FC" w:rsidRDefault="00F660FC" w:rsidP="00DC303B">
      <w:pPr>
        <w:pStyle w:val="ad"/>
        <w:shd w:val="clear" w:color="auto" w:fill="FFFFFF"/>
        <w:spacing w:line="360" w:lineRule="auto"/>
        <w:ind w:left="567"/>
        <w:jc w:val="both"/>
        <w:rPr>
          <w:rFonts w:ascii="David" w:hAnsi="David"/>
          <w:noProof w:val="0"/>
        </w:rPr>
      </w:pPr>
      <w:r>
        <w:rPr>
          <w:rFonts w:ascii="David" w:hAnsi="David"/>
          <w:noProof w:val="0"/>
          <w:rtl/>
        </w:rPr>
        <w:t>מסקנה זהה מתבקשת גם ביחס לטענת התובע לפיה דבר הפרסומים הוביל לפגיעה בפרנסתו</w:t>
      </w:r>
      <w:r w:rsidR="000F192C">
        <w:rPr>
          <w:rFonts w:ascii="David" w:hAnsi="David" w:hint="cs"/>
          <w:noProof w:val="0"/>
          <w:rtl/>
        </w:rPr>
        <w:t xml:space="preserve"> וזאת </w:t>
      </w:r>
      <w:r w:rsidR="00F93D6D">
        <w:rPr>
          <w:rFonts w:ascii="David" w:hAnsi="David" w:hint="cs"/>
          <w:noProof w:val="0"/>
          <w:rtl/>
        </w:rPr>
        <w:t xml:space="preserve">משלא הוצגה </w:t>
      </w:r>
      <w:r w:rsidR="000F192C">
        <w:rPr>
          <w:rFonts w:ascii="David" w:hAnsi="David" w:hint="cs"/>
          <w:noProof w:val="0"/>
          <w:rtl/>
        </w:rPr>
        <w:t>כל ראיה</w:t>
      </w:r>
      <w:r w:rsidR="00F93D6D">
        <w:rPr>
          <w:rFonts w:ascii="David" w:hAnsi="David" w:hint="cs"/>
          <w:noProof w:val="0"/>
          <w:rtl/>
        </w:rPr>
        <w:t xml:space="preserve"> לתמיכה בנטען</w:t>
      </w:r>
      <w:r w:rsidR="000F192C">
        <w:rPr>
          <w:rFonts w:ascii="David" w:hAnsi="David" w:hint="cs"/>
          <w:noProof w:val="0"/>
          <w:rtl/>
        </w:rPr>
        <w:t xml:space="preserve">. </w:t>
      </w:r>
    </w:p>
    <w:p w:rsidR="00F660FC" w:rsidRPr="00F93D6D" w:rsidRDefault="00F660FC" w:rsidP="001C6B21">
      <w:pPr>
        <w:pStyle w:val="ad"/>
        <w:ind w:left="567" w:hanging="567"/>
        <w:rPr>
          <w:rFonts w:ascii="David" w:hAnsi="David"/>
          <w:noProof w:val="0"/>
        </w:rPr>
      </w:pPr>
    </w:p>
    <w:p w:rsidR="001C6B21" w:rsidRPr="001C6B21" w:rsidRDefault="001C6B21" w:rsidP="001C6B21">
      <w:pPr>
        <w:pStyle w:val="ad"/>
        <w:rPr>
          <w:rFonts w:ascii="David" w:hAnsi="David"/>
          <w:noProof w:val="0"/>
          <w:rtl/>
        </w:rPr>
      </w:pPr>
    </w:p>
    <w:p w:rsidR="00DC303B" w:rsidRDefault="00DC303B" w:rsidP="00DC303B">
      <w:pPr>
        <w:pStyle w:val="ad"/>
        <w:numPr>
          <w:ilvl w:val="0"/>
          <w:numId w:val="1"/>
        </w:numPr>
        <w:shd w:val="clear" w:color="auto" w:fill="FFFFFF"/>
        <w:spacing w:line="360" w:lineRule="auto"/>
        <w:ind w:left="567" w:hanging="567"/>
        <w:jc w:val="both"/>
        <w:rPr>
          <w:rFonts w:ascii="David" w:hAnsi="David"/>
          <w:noProof w:val="0"/>
          <w:color w:val="000000"/>
        </w:rPr>
      </w:pPr>
      <w:r>
        <w:rPr>
          <w:rFonts w:ascii="David" w:hAnsi="David"/>
          <w:color w:val="0D0D0D" w:themeColor="text1" w:themeTint="F2"/>
          <w:rtl/>
        </w:rPr>
        <w:lastRenderedPageBreak/>
        <w:t xml:space="preserve">הגם שאין לשלול שימוש בעילות נזקיות בתובענות בענייני משפחה, כבר נקבע כי יש לעשות שימוש באלה במרחב המשפחתי באופן זהיר ובמשורה- </w:t>
      </w:r>
      <w:r>
        <w:rPr>
          <w:rFonts w:ascii="David" w:hAnsi="David"/>
          <w:color w:val="000000"/>
          <w:rtl/>
        </w:rPr>
        <w:t>"</w:t>
      </w:r>
      <w:r>
        <w:rPr>
          <w:rFonts w:ascii="David" w:hAnsi="David"/>
          <w:b/>
          <w:bCs/>
          <w:noProof w:val="0"/>
          <w:color w:val="000000"/>
          <w:rtl/>
        </w:rPr>
        <w:t>מעונם הטבעי של מערכת היחסים בתוך המשפחה, וביתר שאת מערכת היחסים שבין בני זוג אינם במערכת דיני הנזיקין... על כן, בכל הנוגע לענייני המשפחה, יש להשתמש בעוולות הנזיקיות</w:t>
      </w:r>
      <w:r>
        <w:rPr>
          <w:rFonts w:ascii="David" w:hAnsi="David"/>
          <w:b/>
          <w:bCs/>
          <w:color w:val="000000"/>
          <w:rtl/>
        </w:rPr>
        <w:t xml:space="preserve"> במשורה</w:t>
      </w:r>
      <w:r>
        <w:rPr>
          <w:rFonts w:ascii="David" w:hAnsi="David"/>
          <w:b/>
          <w:bCs/>
          <w:noProof w:val="0"/>
          <w:color w:val="000000"/>
          <w:rtl/>
        </w:rPr>
        <w:t>, וכל אימת שלא קיימים דינים אחרים ועילות אחרות קרובות יותר, בהן ניתן להשתמש על מנת להגיע לתוצאה הצודקת והראויה</w:t>
      </w:r>
      <w:r>
        <w:rPr>
          <w:rFonts w:ascii="David" w:hAnsi="David"/>
          <w:noProof w:val="0"/>
          <w:color w:val="000000"/>
          <w:rtl/>
        </w:rPr>
        <w:t>". (ר' עמ"ש (חי') 33044-04-13 </w:t>
      </w:r>
      <w:r>
        <w:rPr>
          <w:rFonts w:ascii="David" w:hAnsi="David"/>
          <w:b/>
          <w:bCs/>
          <w:noProof w:val="0"/>
          <w:color w:val="000000"/>
          <w:rtl/>
        </w:rPr>
        <w:t>נ.ר ואח' נ' א.א. </w:t>
      </w:r>
      <w:r>
        <w:rPr>
          <w:rFonts w:ascii="David" w:hAnsi="David"/>
          <w:noProof w:val="0"/>
          <w:color w:val="000000"/>
          <w:rtl/>
        </w:rPr>
        <w:t>[פורסם בנבו] (2014), וכן תמ"ש (ב"ש) 972-10-11 </w:t>
      </w:r>
      <w:r>
        <w:rPr>
          <w:rFonts w:ascii="David" w:hAnsi="David"/>
          <w:b/>
          <w:bCs/>
          <w:noProof w:val="0"/>
          <w:color w:val="000000"/>
          <w:rtl/>
        </w:rPr>
        <w:t>פלוני נ' אלמונית</w:t>
      </w:r>
      <w:r>
        <w:rPr>
          <w:rFonts w:ascii="David" w:hAnsi="David"/>
          <w:noProof w:val="0"/>
          <w:color w:val="000000"/>
          <w:rtl/>
        </w:rPr>
        <w:t>, [פורסם בנבו] (29.12.13)).</w:t>
      </w:r>
    </w:p>
    <w:p w:rsidR="00DC303B" w:rsidRPr="00DC303B" w:rsidRDefault="00DC303B" w:rsidP="00DC303B">
      <w:pPr>
        <w:pStyle w:val="ad"/>
        <w:ind w:left="567" w:hanging="567"/>
        <w:rPr>
          <w:rFonts w:ascii="David" w:hAnsi="David"/>
          <w:noProof w:val="0"/>
          <w:color w:val="000000"/>
          <w:rtl/>
        </w:rPr>
      </w:pPr>
    </w:p>
    <w:p w:rsidR="00DC303B" w:rsidRDefault="00BA1409" w:rsidP="00BA1409">
      <w:pPr>
        <w:pStyle w:val="ad"/>
        <w:numPr>
          <w:ilvl w:val="0"/>
          <w:numId w:val="1"/>
        </w:numPr>
        <w:spacing w:line="360" w:lineRule="auto"/>
        <w:ind w:left="567" w:hanging="567"/>
        <w:jc w:val="both"/>
        <w:rPr>
          <w:rFonts w:ascii="David" w:hAnsi="David"/>
          <w:noProof w:val="0"/>
        </w:rPr>
      </w:pPr>
      <w:r>
        <w:rPr>
          <w:rFonts w:ascii="Arial" w:hAnsi="Arial" w:hint="cs"/>
          <w:noProof w:val="0"/>
          <w:rtl/>
        </w:rPr>
        <w:t>בעניינינו, גם ו</w:t>
      </w:r>
      <w:r w:rsidR="00E52810">
        <w:rPr>
          <w:rFonts w:ascii="Arial" w:hAnsi="Arial" w:hint="cs"/>
          <w:noProof w:val="0"/>
          <w:rtl/>
        </w:rPr>
        <w:t xml:space="preserve">לאור סמיכות הזמנים לא ניתן לשלול כי </w:t>
      </w:r>
      <w:r w:rsidR="00DC303B">
        <w:rPr>
          <w:rFonts w:ascii="Arial" w:hAnsi="Arial" w:hint="cs"/>
          <w:noProof w:val="0"/>
          <w:rtl/>
        </w:rPr>
        <w:t xml:space="preserve">תביעה זו באה לעולם כתגובת נגד לתביעת לשון הרע  שהגישה הנתבעת </w:t>
      </w:r>
      <w:r w:rsidR="00DC303B">
        <w:rPr>
          <w:rFonts w:ascii="David" w:hAnsi="David"/>
          <w:noProof w:val="0"/>
          <w:rtl/>
        </w:rPr>
        <w:t>(תמ"ש 26759-04-22)</w:t>
      </w:r>
      <w:r w:rsidR="00DC303B">
        <w:rPr>
          <w:rFonts w:ascii="David" w:hAnsi="David" w:hint="cs"/>
          <w:noProof w:val="0"/>
          <w:rtl/>
        </w:rPr>
        <w:t xml:space="preserve">. </w:t>
      </w:r>
      <w:r w:rsidR="00DC303B" w:rsidRPr="001C6B21">
        <w:rPr>
          <w:rFonts w:ascii="Arial" w:hAnsi="Arial" w:hint="cs"/>
          <w:noProof w:val="0"/>
          <w:rtl/>
        </w:rPr>
        <w:t xml:space="preserve">אלא שנסיבות ההליך בו נקטה </w:t>
      </w:r>
      <w:r w:rsidR="00DC303B">
        <w:rPr>
          <w:rFonts w:ascii="Arial" w:hAnsi="Arial" w:hint="cs"/>
          <w:noProof w:val="0"/>
          <w:rtl/>
        </w:rPr>
        <w:t>ה</w:t>
      </w:r>
      <w:r w:rsidR="00DC303B" w:rsidRPr="001C6B21">
        <w:rPr>
          <w:rFonts w:ascii="Arial" w:hAnsi="Arial" w:hint="cs"/>
          <w:noProof w:val="0"/>
          <w:rtl/>
        </w:rPr>
        <w:t xml:space="preserve">נתבעת היו שונות בתכלית שכן באותו עניין התובע שלח מס' מיילים </w:t>
      </w:r>
      <w:r>
        <w:rPr>
          <w:rFonts w:ascii="Arial" w:hAnsi="Arial" w:hint="cs"/>
          <w:noProof w:val="0"/>
          <w:rtl/>
        </w:rPr>
        <w:t xml:space="preserve">בתפוצה רחבה </w:t>
      </w:r>
      <w:r w:rsidR="00DC303B" w:rsidRPr="001C6B21">
        <w:rPr>
          <w:rFonts w:ascii="Arial" w:hAnsi="Arial" w:hint="cs"/>
          <w:noProof w:val="0"/>
          <w:rtl/>
        </w:rPr>
        <w:t>למקום העבודה של הנתבעת בהם ייחס לה</w:t>
      </w:r>
      <w:r w:rsidR="00DC303B">
        <w:rPr>
          <w:rFonts w:ascii="Arial" w:hAnsi="Arial" w:hint="cs"/>
          <w:noProof w:val="0"/>
          <w:rtl/>
        </w:rPr>
        <w:t>, בין היתר,</w:t>
      </w:r>
      <w:r w:rsidR="00DC303B" w:rsidRPr="001C6B21">
        <w:rPr>
          <w:rFonts w:ascii="Arial" w:hAnsi="Arial" w:hint="cs"/>
          <w:noProof w:val="0"/>
          <w:rtl/>
        </w:rPr>
        <w:t xml:space="preserve"> </w:t>
      </w:r>
      <w:r w:rsidR="00DC303B" w:rsidRPr="001C6B21">
        <w:rPr>
          <w:rFonts w:ascii="Arial" w:hAnsi="Arial"/>
          <w:noProof w:val="0"/>
          <w:rtl/>
        </w:rPr>
        <w:t>התנהגות אלימה ומסכנת כלפי הקטין, מחלת נפש, העדר כישורים מתאימים לבצע עבודתה ועוד</w:t>
      </w:r>
      <w:r w:rsidR="00DC303B" w:rsidRPr="001C6B21">
        <w:rPr>
          <w:rFonts w:ascii="Arial" w:hAnsi="Arial" w:hint="cs"/>
          <w:noProof w:val="0"/>
          <w:rtl/>
        </w:rPr>
        <w:t>.</w:t>
      </w:r>
    </w:p>
    <w:p w:rsidR="00DC303B" w:rsidRPr="00DC303B" w:rsidRDefault="00DC303B" w:rsidP="00DC303B">
      <w:pPr>
        <w:pStyle w:val="ad"/>
        <w:rPr>
          <w:rFonts w:ascii="David" w:hAnsi="David"/>
          <w:noProof w:val="0"/>
          <w:rtl/>
        </w:rPr>
      </w:pPr>
    </w:p>
    <w:p w:rsidR="00F660FC" w:rsidRDefault="00F660FC" w:rsidP="00184395">
      <w:pPr>
        <w:pStyle w:val="ad"/>
        <w:numPr>
          <w:ilvl w:val="0"/>
          <w:numId w:val="1"/>
        </w:numPr>
        <w:shd w:val="clear" w:color="auto" w:fill="FFFFFF"/>
        <w:spacing w:line="360" w:lineRule="auto"/>
        <w:ind w:left="567" w:hanging="567"/>
        <w:jc w:val="both"/>
        <w:rPr>
          <w:rFonts w:ascii="David" w:hAnsi="David"/>
          <w:noProof w:val="0"/>
          <w:rtl/>
        </w:rPr>
      </w:pPr>
      <w:r>
        <w:rPr>
          <w:rFonts w:ascii="David" w:hAnsi="David"/>
          <w:noProof w:val="0"/>
          <w:rtl/>
        </w:rPr>
        <w:t>מן המקובץ עולה</w:t>
      </w:r>
      <w:r w:rsidR="001E733D">
        <w:rPr>
          <w:rFonts w:ascii="David" w:hAnsi="David" w:hint="cs"/>
          <w:noProof w:val="0"/>
          <w:rtl/>
        </w:rPr>
        <w:t>,</w:t>
      </w:r>
      <w:r>
        <w:rPr>
          <w:rFonts w:ascii="David" w:hAnsi="David"/>
          <w:noProof w:val="0"/>
          <w:rtl/>
        </w:rPr>
        <w:t xml:space="preserve"> כי אין בידי לקבוע שתלונות הנתבעת נעדרות חוסר תם לב, הוגשו בזדון ובידיעה כי </w:t>
      </w:r>
      <w:r w:rsidR="001E733D">
        <w:rPr>
          <w:rFonts w:ascii="David" w:hAnsi="David" w:hint="cs"/>
          <w:noProof w:val="0"/>
          <w:rtl/>
        </w:rPr>
        <w:t>תלונות שווא הן</w:t>
      </w:r>
      <w:r>
        <w:rPr>
          <w:rFonts w:ascii="David" w:hAnsi="David"/>
          <w:noProof w:val="0"/>
          <w:rtl/>
        </w:rPr>
        <w:t>. ברקע הסכסוך המועצם המתנהל בין הצדדים איני יכולה לשלול טענת הנתבעת בדבר תחולת ההגנ</w:t>
      </w:r>
      <w:r w:rsidR="00184395">
        <w:rPr>
          <w:rFonts w:ascii="David" w:hAnsi="David" w:hint="cs"/>
          <w:noProof w:val="0"/>
          <w:rtl/>
        </w:rPr>
        <w:t>ות  הקבועות בסעיף 15</w:t>
      </w:r>
      <w:r>
        <w:rPr>
          <w:rFonts w:ascii="David" w:hAnsi="David"/>
          <w:noProof w:val="0"/>
          <w:rtl/>
        </w:rPr>
        <w:t xml:space="preserve"> לחוק. לא מן הנמנע כי הגשת התלונות נועדה להגן על עניין אישי כשר של הנתבעת,  כמו כן תלונה למשטרה שהינה רשות מוסמכת אינה חורגת מתחום הסביר, ובמקרה כזה קמה לזכותה החזקה האמורה בסע' 16(א) לחוק ולפיה </w:t>
      </w:r>
      <w:r>
        <w:rPr>
          <w:rFonts w:ascii="David" w:hAnsi="David"/>
          <w:b/>
          <w:bCs/>
          <w:noProof w:val="0"/>
          <w:rtl/>
        </w:rPr>
        <w:t>"הוכיח הנאשם או הנתבע שעשה את הפרסום באחת הנסיבות האמורות בסעיף 15 ושהפרסום לא חרג מתחום הסביר באותן נסיבות , חזקה עליו שעשה את הפרסום בתום לב"</w:t>
      </w:r>
      <w:r>
        <w:rPr>
          <w:rFonts w:ascii="David" w:hAnsi="David"/>
          <w:noProof w:val="0"/>
          <w:rtl/>
        </w:rPr>
        <w:t>.</w:t>
      </w:r>
    </w:p>
    <w:p w:rsidR="00F660FC" w:rsidRDefault="00F660FC" w:rsidP="00F660FC">
      <w:pPr>
        <w:pStyle w:val="listparagraph"/>
        <w:shd w:val="clear" w:color="auto" w:fill="FFFFFF"/>
        <w:bidi/>
        <w:spacing w:before="0" w:beforeAutospacing="0" w:after="0" w:afterAutospacing="0" w:line="360" w:lineRule="auto"/>
        <w:ind w:left="567" w:hanging="567"/>
        <w:jc w:val="both"/>
        <w:rPr>
          <w:rFonts w:ascii="David" w:hAnsi="David" w:cs="David"/>
          <w:highlight w:val="yellow"/>
          <w:rtl/>
        </w:rPr>
      </w:pPr>
    </w:p>
    <w:p w:rsidR="00F660FC" w:rsidRDefault="000F192C" w:rsidP="000F192C">
      <w:pPr>
        <w:pStyle w:val="listparagraph"/>
        <w:shd w:val="clear" w:color="auto" w:fill="FFFFFF"/>
        <w:bidi/>
        <w:spacing w:before="0" w:beforeAutospacing="0" w:after="0" w:afterAutospacing="0" w:line="360" w:lineRule="auto"/>
        <w:ind w:left="567"/>
        <w:jc w:val="both"/>
        <w:rPr>
          <w:rFonts w:ascii="David" w:hAnsi="David"/>
          <w:color w:val="0D0D0D" w:themeColor="text1" w:themeTint="F2"/>
        </w:rPr>
      </w:pPr>
      <w:r>
        <w:rPr>
          <w:rFonts w:ascii="David" w:hAnsi="David" w:cs="David" w:hint="cs"/>
          <w:rtl/>
        </w:rPr>
        <w:t xml:space="preserve">לא </w:t>
      </w:r>
      <w:r w:rsidR="00F660FC">
        <w:rPr>
          <w:rFonts w:ascii="David" w:hAnsi="David" w:cs="David"/>
          <w:rtl/>
        </w:rPr>
        <w:t>הוכח</w:t>
      </w:r>
      <w:r>
        <w:rPr>
          <w:rFonts w:ascii="David" w:hAnsi="David" w:cs="David" w:hint="cs"/>
          <w:rtl/>
        </w:rPr>
        <w:t>ה</w:t>
      </w:r>
      <w:r w:rsidR="00F660FC">
        <w:rPr>
          <w:rFonts w:ascii="David" w:hAnsi="David" w:cs="David"/>
          <w:rtl/>
        </w:rPr>
        <w:t xml:space="preserve"> לפני כל עיקר קיומה של אחת החלופות המנויות בסעיף 16(ב) לחוק המזכות את התובע בפיצוי בגין עוולת לשון הרע. </w:t>
      </w:r>
    </w:p>
    <w:p w:rsidR="00F660FC" w:rsidRDefault="00F660FC" w:rsidP="000F192C">
      <w:pPr>
        <w:pStyle w:val="ad"/>
        <w:ind w:left="567" w:hanging="567"/>
        <w:rPr>
          <w:rFonts w:ascii="David" w:hAnsi="David"/>
          <w:color w:val="0D0D0D" w:themeColor="text1" w:themeTint="F2"/>
          <w:rtl/>
        </w:rPr>
      </w:pPr>
    </w:p>
    <w:p w:rsidR="00F660FC" w:rsidRDefault="00F660FC" w:rsidP="000F192C">
      <w:pPr>
        <w:pStyle w:val="ad"/>
        <w:numPr>
          <w:ilvl w:val="0"/>
          <w:numId w:val="1"/>
        </w:numPr>
        <w:spacing w:line="360" w:lineRule="auto"/>
        <w:ind w:left="567" w:hanging="567"/>
        <w:jc w:val="both"/>
        <w:rPr>
          <w:rFonts w:ascii="Arial" w:hAnsi="Arial"/>
          <w:noProof w:val="0"/>
        </w:rPr>
      </w:pPr>
      <w:r>
        <w:rPr>
          <w:rFonts w:ascii="David" w:hAnsi="David"/>
          <w:color w:val="0D0D0D" w:themeColor="text1" w:themeTint="F2"/>
          <w:rtl/>
        </w:rPr>
        <w:t>עתירת התובע לחיוב הנתבעת בפיצוי בגין עוולת לשון הרע נדחית</w:t>
      </w:r>
      <w:r w:rsidR="00DC303B">
        <w:rPr>
          <w:rFonts w:ascii="David" w:hAnsi="David" w:hint="cs"/>
          <w:color w:val="0D0D0D" w:themeColor="text1" w:themeTint="F2"/>
          <w:rtl/>
        </w:rPr>
        <w:t xml:space="preserve"> אפוא</w:t>
      </w:r>
      <w:r>
        <w:rPr>
          <w:rFonts w:ascii="Arial" w:hAnsi="Arial"/>
          <w:noProof w:val="0"/>
          <w:rtl/>
        </w:rPr>
        <w:t>.</w:t>
      </w:r>
    </w:p>
    <w:p w:rsidR="00F660FC" w:rsidRDefault="00F660FC" w:rsidP="000F192C">
      <w:pPr>
        <w:pStyle w:val="ad"/>
        <w:ind w:left="567" w:hanging="567"/>
        <w:rPr>
          <w:rFonts w:ascii="Arial" w:hAnsi="Arial"/>
          <w:noProof w:val="0"/>
        </w:rPr>
      </w:pPr>
    </w:p>
    <w:p w:rsidR="00F660FC" w:rsidRDefault="00F660FC" w:rsidP="000F192C">
      <w:pPr>
        <w:pStyle w:val="ad"/>
        <w:numPr>
          <w:ilvl w:val="0"/>
          <w:numId w:val="1"/>
        </w:numPr>
        <w:spacing w:line="360" w:lineRule="auto"/>
        <w:ind w:left="567" w:hanging="567"/>
        <w:jc w:val="both"/>
        <w:rPr>
          <w:rFonts w:ascii="Arial" w:hAnsi="Arial"/>
          <w:noProof w:val="0"/>
        </w:rPr>
      </w:pPr>
      <w:r>
        <w:rPr>
          <w:rFonts w:ascii="Arial" w:hAnsi="Arial"/>
          <w:noProof w:val="0"/>
          <w:rtl/>
        </w:rPr>
        <w:t xml:space="preserve">לאור התוצאה אך נוכח היקפו המצומצם של ההליך יישא התובע בהוצאות הנתבעת בסך של 5000 ₪. </w:t>
      </w:r>
    </w:p>
    <w:p w:rsidR="00F660FC" w:rsidRDefault="00F660FC" w:rsidP="000F192C">
      <w:pPr>
        <w:spacing w:line="360" w:lineRule="auto"/>
        <w:ind w:left="567" w:hanging="567"/>
        <w:jc w:val="both"/>
        <w:rPr>
          <w:rFonts w:ascii="Arial" w:hAnsi="Arial"/>
          <w:noProof w:val="0"/>
          <w:rtl/>
        </w:rPr>
      </w:pPr>
    </w:p>
    <w:p w:rsidR="001E733D" w:rsidRDefault="001E733D" w:rsidP="00F660FC">
      <w:pPr>
        <w:spacing w:line="360" w:lineRule="auto"/>
        <w:ind w:left="567" w:hanging="567"/>
        <w:jc w:val="both"/>
        <w:rPr>
          <w:rFonts w:ascii="Arial" w:hAnsi="Arial"/>
          <w:noProof w:val="0"/>
          <w:rtl/>
        </w:rPr>
      </w:pPr>
      <w:r>
        <w:rPr>
          <w:rFonts w:ascii="Arial" w:hAnsi="Arial" w:hint="cs"/>
          <w:noProof w:val="0"/>
          <w:rtl/>
        </w:rPr>
        <w:t>המזכירות תמציא את פסק הדין לצדדים ותסגור את התיק.</w:t>
      </w:r>
    </w:p>
    <w:p w:rsidR="00F660FC" w:rsidRDefault="00F660FC" w:rsidP="00F660FC">
      <w:pPr>
        <w:spacing w:line="360" w:lineRule="auto"/>
        <w:jc w:val="both"/>
        <w:rPr>
          <w:rFonts w:ascii="Arial" w:hAnsi="Arial"/>
          <w:noProof w:val="0"/>
        </w:rPr>
      </w:pPr>
    </w:p>
    <w:p w:rsidR="00F660FC" w:rsidRDefault="00F660FC" w:rsidP="00F660FC">
      <w:pPr>
        <w:spacing w:line="360" w:lineRule="auto"/>
        <w:jc w:val="both"/>
        <w:rPr>
          <w:rFonts w:ascii="Arial" w:hAnsi="Arial"/>
          <w:noProof w:val="0"/>
          <w:rtl/>
        </w:rPr>
      </w:pPr>
      <w:r>
        <w:rPr>
          <w:rFonts w:ascii="Arial" w:hAnsi="Arial"/>
          <w:noProof w:val="0"/>
          <w:rtl/>
        </w:rPr>
        <w:t xml:space="preserve">ניתנה היום, </w:t>
      </w:r>
      <w:sdt>
        <w:sdtPr>
          <w:rPr>
            <w:rtl/>
          </w:rPr>
          <w:alias w:val="1455"/>
          <w:tag w:val="1455"/>
          <w:id w:val="1635287541"/>
          <w:text w:multiLine="1"/>
        </w:sdtPr>
        <w:sdtEndPr/>
        <w:sdtContent>
          <w:r>
            <w:rPr>
              <w:rFonts w:ascii="Arial" w:hAnsi="Arial"/>
              <w:noProof w:val="0"/>
              <w:rtl/>
            </w:rPr>
            <w:t>י"ג כסלו תשפ"ד</w:t>
          </w:r>
        </w:sdtContent>
      </w:sdt>
      <w:r>
        <w:rPr>
          <w:rFonts w:ascii="Arial" w:hAnsi="Arial"/>
          <w:noProof w:val="0"/>
          <w:rtl/>
        </w:rPr>
        <w:t xml:space="preserve">, </w:t>
      </w:r>
      <w:sdt>
        <w:sdtPr>
          <w:rPr>
            <w:rtl/>
          </w:rPr>
          <w:alias w:val="1456"/>
          <w:tag w:val="1456"/>
          <w:id w:val="-286966266"/>
          <w:text w:multiLine="1"/>
        </w:sdtPr>
        <w:sdtEndPr/>
        <w:sdtContent>
          <w:r>
            <w:rPr>
              <w:rFonts w:ascii="Arial" w:hAnsi="Arial"/>
              <w:noProof w:val="0"/>
              <w:rtl/>
            </w:rPr>
            <w:t>26 נובמבר 2023</w:t>
          </w:r>
        </w:sdtContent>
      </w:sdt>
      <w:r>
        <w:rPr>
          <w:rFonts w:ascii="Arial" w:hAnsi="Arial"/>
          <w:noProof w:val="0"/>
          <w:rtl/>
        </w:rPr>
        <w:t>, בהעדר הצדדים.</w:t>
      </w:r>
    </w:p>
    <w:p w:rsidR="00F660FC" w:rsidRDefault="002B2F93" w:rsidP="00F660FC">
      <w:pPr>
        <w:tabs>
          <w:tab w:val="left" w:pos="2553"/>
        </w:tabs>
        <w:ind w:left="5040"/>
        <w:rPr>
          <w:rtl/>
        </w:rPr>
      </w:pPr>
      <w:sdt>
        <w:sdtPr>
          <w:rPr>
            <w:rtl/>
          </w:rPr>
          <w:alias w:val="2045"/>
          <w:tag w:val="2045"/>
          <w:id w:val="-839005556"/>
          <w:placeholder>
            <w:docPart w:val="5A892F2D4BC84BB88E3B711F0C818B32"/>
          </w:placeholder>
          <w:showingPlcHdr/>
          <w:text w:multiLine="1"/>
        </w:sdtPr>
        <w:sdtEndPr/>
        <w:sdtContent>
          <w:r w:rsidR="00F660FC">
            <w:rPr>
              <w:rtl/>
            </w:rPr>
            <w:t xml:space="preserve">     </w:t>
          </w:r>
        </w:sdtContent>
      </w:sdt>
    </w:p>
    <w:p w:rsidR="00F660FC" w:rsidRDefault="00F660FC" w:rsidP="001F1D68">
      <w:pPr>
        <w:tabs>
          <w:tab w:val="left" w:pos="2553"/>
        </w:tabs>
        <w:rPr>
          <w:rFonts w:ascii="Arial" w:hAnsi="Arial"/>
          <w:noProof w:val="0"/>
          <w:rtl/>
        </w:rPr>
      </w:pPr>
      <w:r>
        <w:rPr>
          <w:rtl/>
        </w:rPr>
        <w:tab/>
      </w:r>
      <w:r>
        <w:rPr>
          <w:rtl/>
        </w:rPr>
        <w:tab/>
      </w:r>
      <w:r>
        <w:rPr>
          <w:rtl/>
        </w:rPr>
        <w:tab/>
      </w:r>
      <w:r>
        <w:rPr>
          <w:rtl/>
        </w:rPr>
        <w:tab/>
      </w:r>
      <w:r w:rsidR="001F1D68">
        <w:rPr>
          <w:rFonts w:ascii="Arial" w:hAnsi="Arial" w:hint="cs"/>
          <w:noProof w:val="0"/>
          <w:rtl/>
        </w:rPr>
        <w:t>___________________</w:t>
      </w:r>
    </w:p>
    <w:p w:rsidR="001F1D68" w:rsidRDefault="001F1D68" w:rsidP="001F1D68">
      <w:pPr>
        <w:tabs>
          <w:tab w:val="left" w:pos="2553"/>
        </w:tabs>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אפרת שהם דליות, שופטת</w:t>
      </w:r>
    </w:p>
    <w:p w:rsidR="00F660FC" w:rsidRDefault="00F660FC" w:rsidP="00F660FC">
      <w:pPr>
        <w:rPr>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sectPr w:rsidR="00694556" w:rsidRPr="00DE1E7D" w:rsidSect="006C30C5">
      <w:headerReference w:type="default" r:id="rId10"/>
      <w:footerReference w:type="default" r:id="rId11"/>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2F93" w:rsidRDefault="002B2F93">
      <w:r>
        <w:separator/>
      </w:r>
    </w:p>
  </w:endnote>
  <w:endnote w:type="continuationSeparator" w:id="0">
    <w:p w:rsidR="002B2F93" w:rsidRDefault="002B2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775C6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775C69">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2F93" w:rsidRDefault="002B2F93">
      <w:r>
        <w:separator/>
      </w:r>
    </w:p>
  </w:footnote>
  <w:footnote w:type="continuationSeparator" w:id="0">
    <w:p w:rsidR="002B2F93" w:rsidRDefault="002B2F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0768036D" wp14:editId="3C5829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s="Tahoma"/>
            <w:b/>
            <w:bCs/>
            <w:color w:val="000080"/>
            <w:rtl/>
          </w:rPr>
          <w:alias w:val="1174"/>
          <w:tag w:val="1174"/>
          <w:id w:val="-1585920285"/>
          <w:text w:multiLine="1"/>
        </w:sdtPr>
        <w:sdtEndPr/>
        <w:sdtContent>
          <w:tc>
            <w:tcPr>
              <w:tcW w:w="8721" w:type="dxa"/>
              <w:gridSpan w:val="2"/>
            </w:tcPr>
            <w:p w:rsidR="00694556" w:rsidRDefault="003D1C8C" w:rsidP="003230C7">
              <w:pPr>
                <w:pStyle w:val="a3"/>
                <w:jc w:val="center"/>
                <w:rPr>
                  <w:rFonts w:ascii="Tahoma" w:hAnsi="Tahoma" w:cs="Tahoma"/>
                  <w:noProof w:val="0"/>
                  <w:color w:val="000080"/>
                  <w:rtl/>
                </w:rPr>
              </w:pPr>
              <w:r w:rsidRPr="003D1C8C">
                <w:rPr>
                  <w:rFonts w:ascii="Tahoma" w:hAnsi="Tahoma" w:cs="Tahoma"/>
                  <w:b/>
                  <w:bCs/>
                  <w:color w:val="000080"/>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2B2F93" w:rsidP="00EB0545">
          <w:pPr>
            <w:rPr>
              <w:b/>
              <w:bCs/>
              <w:noProof w:val="0"/>
              <w:sz w:val="26"/>
              <w:szCs w:val="26"/>
              <w:rtl/>
            </w:rPr>
          </w:pPr>
          <w:sdt>
            <w:sdtPr>
              <w:rPr>
                <w:rtl/>
              </w:rPr>
              <w:alias w:val="1170"/>
              <w:tag w:val="1170"/>
              <w:id w:val="1066377040"/>
              <w:text w:multiLine="1"/>
            </w:sdtPr>
            <w:sdtEndPr/>
            <w:sdtContent>
              <w:r w:rsidR="000964A6">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964A6">
                <w:rPr>
                  <w:b/>
                  <w:bCs/>
                  <w:noProof w:val="0"/>
                  <w:sz w:val="26"/>
                  <w:szCs w:val="26"/>
                  <w:rtl/>
                </w:rPr>
                <w:t>22355-07-22</w:t>
              </w:r>
            </w:sdtContent>
          </w:sdt>
          <w:r w:rsidR="00005C8B">
            <w:rPr>
              <w:b/>
              <w:bCs/>
              <w:noProof w:val="0"/>
              <w:sz w:val="26"/>
              <w:szCs w:val="26"/>
              <w:rtl/>
            </w:rPr>
            <w:t xml:space="preserve"> </w:t>
          </w:r>
          <w:sdt>
            <w:sdtPr>
              <w:rPr>
                <w:rtl/>
              </w:rPr>
              <w:alias w:val="1172"/>
              <w:tag w:val="1172"/>
              <w:id w:val="-595170033"/>
              <w:text w:multiLine="1"/>
            </w:sdtPr>
            <w:sdtEndPr/>
            <w:sdtContent/>
          </w:sdt>
        </w:p>
        <w:p w:rsidR="007D45E3" w:rsidRPr="007B7765" w:rsidRDefault="007D45E3" w:rsidP="007D45E3">
          <w:pPr>
            <w:rPr>
              <w:b/>
              <w:bCs/>
              <w:noProof w:val="0"/>
              <w:sz w:val="2"/>
              <w:szCs w:val="2"/>
              <w:rtl/>
            </w:rPr>
          </w:pPr>
        </w:p>
        <w:p w:rsidR="008D10B2" w:rsidRPr="00E1068A" w:rsidRDefault="007D45E3" w:rsidP="00AE3E77">
          <w:pPr>
            <w:rPr>
              <w:sz w:val="20"/>
              <w:szCs w:val="20"/>
              <w:rtl/>
            </w:rPr>
          </w:pPr>
          <w:r>
            <w:rPr>
              <w:rFonts w:hint="cs"/>
              <w:rtl/>
            </w:rPr>
            <w:t xml:space="preserve">                           </w:t>
          </w:r>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E061C6"/>
    <w:multiLevelType w:val="hybridMultilevel"/>
    <w:tmpl w:val="1B421C60"/>
    <w:lvl w:ilvl="0" w:tplc="9BC2F766">
      <w:start w:val="1"/>
      <w:numFmt w:val="decimal"/>
      <w:lvlText w:val="%1."/>
      <w:lvlJc w:val="left"/>
      <w:pPr>
        <w:ind w:left="1636" w:hanging="360"/>
      </w:pPr>
      <w:rPr>
        <w:rFonts w:ascii="David" w:hAnsi="David" w:cs="David" w:hint="default"/>
        <w:b w:val="0"/>
        <w:bCs w:val="0"/>
        <w:i w:val="0"/>
        <w:iCs w:val="0"/>
        <w:lang w:val="en-US"/>
      </w:rPr>
    </w:lvl>
    <w:lvl w:ilvl="1" w:tplc="04090019">
      <w:start w:val="1"/>
      <w:numFmt w:val="lowerLetter"/>
      <w:lvlText w:val="%2."/>
      <w:lvlJc w:val="left"/>
      <w:pPr>
        <w:ind w:left="2716" w:hanging="360"/>
      </w:pPr>
    </w:lvl>
    <w:lvl w:ilvl="2" w:tplc="0409001B">
      <w:start w:val="1"/>
      <w:numFmt w:val="lowerRoman"/>
      <w:lvlText w:val="%3."/>
      <w:lvlJc w:val="right"/>
      <w:pPr>
        <w:ind w:left="3436" w:hanging="180"/>
      </w:pPr>
    </w:lvl>
    <w:lvl w:ilvl="3" w:tplc="0409000F">
      <w:start w:val="1"/>
      <w:numFmt w:val="decimal"/>
      <w:lvlText w:val="%4."/>
      <w:lvlJc w:val="left"/>
      <w:pPr>
        <w:ind w:left="4156" w:hanging="360"/>
      </w:pPr>
    </w:lvl>
    <w:lvl w:ilvl="4" w:tplc="04090019">
      <w:start w:val="1"/>
      <w:numFmt w:val="lowerLetter"/>
      <w:lvlText w:val="%5."/>
      <w:lvlJc w:val="left"/>
      <w:pPr>
        <w:ind w:left="4876" w:hanging="360"/>
      </w:pPr>
    </w:lvl>
    <w:lvl w:ilvl="5" w:tplc="0409001B">
      <w:start w:val="1"/>
      <w:numFmt w:val="lowerRoman"/>
      <w:lvlText w:val="%6."/>
      <w:lvlJc w:val="right"/>
      <w:pPr>
        <w:ind w:left="5596" w:hanging="180"/>
      </w:pPr>
    </w:lvl>
    <w:lvl w:ilvl="6" w:tplc="0409000F">
      <w:start w:val="1"/>
      <w:numFmt w:val="decimal"/>
      <w:lvlText w:val="%7."/>
      <w:lvlJc w:val="left"/>
      <w:pPr>
        <w:ind w:left="6316" w:hanging="360"/>
      </w:pPr>
    </w:lvl>
    <w:lvl w:ilvl="7" w:tplc="04090019">
      <w:start w:val="1"/>
      <w:numFmt w:val="lowerLetter"/>
      <w:lvlText w:val="%8."/>
      <w:lvlJc w:val="left"/>
      <w:pPr>
        <w:ind w:left="7036" w:hanging="360"/>
      </w:pPr>
    </w:lvl>
    <w:lvl w:ilvl="8" w:tplc="0409001B">
      <w:start w:val="1"/>
      <w:numFmt w:val="lowerRoman"/>
      <w:lvlText w:val="%9."/>
      <w:lvlJc w:val="right"/>
      <w:pPr>
        <w:ind w:left="7756" w:hanging="180"/>
      </w:pPr>
    </w:lvl>
  </w:abstractNum>
  <w:abstractNum w:abstractNumId="1" w15:restartNumberingAfterBreak="0">
    <w:nsid w:val="348503F4"/>
    <w:multiLevelType w:val="hybridMultilevel"/>
    <w:tmpl w:val="BE009226"/>
    <w:lvl w:ilvl="0" w:tplc="298AE5EA">
      <w:start w:val="1"/>
      <w:numFmt w:val="decimal"/>
      <w:lvlText w:val="%1."/>
      <w:lvlJc w:val="left"/>
      <w:pPr>
        <w:ind w:left="1636" w:hanging="360"/>
      </w:pPr>
      <w:rPr>
        <w:rFonts w:ascii="David" w:hAnsi="David" w:cs="David" w:hint="default"/>
        <w:b w:val="0"/>
        <w:bCs w:val="0"/>
        <w:i w:val="0"/>
        <w:iCs w:val="0"/>
        <w:lang w:val="en-US" w:bidi="he-IL"/>
      </w:rPr>
    </w:lvl>
    <w:lvl w:ilvl="1" w:tplc="04090019">
      <w:start w:val="1"/>
      <w:numFmt w:val="lowerLetter"/>
      <w:lvlText w:val="%2."/>
      <w:lvlJc w:val="left"/>
      <w:pPr>
        <w:ind w:left="2716" w:hanging="360"/>
      </w:pPr>
    </w:lvl>
    <w:lvl w:ilvl="2" w:tplc="0409001B">
      <w:start w:val="1"/>
      <w:numFmt w:val="lowerRoman"/>
      <w:lvlText w:val="%3."/>
      <w:lvlJc w:val="right"/>
      <w:pPr>
        <w:ind w:left="3436" w:hanging="180"/>
      </w:pPr>
    </w:lvl>
    <w:lvl w:ilvl="3" w:tplc="0409000F">
      <w:start w:val="1"/>
      <w:numFmt w:val="decimal"/>
      <w:lvlText w:val="%4."/>
      <w:lvlJc w:val="left"/>
      <w:pPr>
        <w:ind w:left="4156" w:hanging="360"/>
      </w:pPr>
    </w:lvl>
    <w:lvl w:ilvl="4" w:tplc="04090019">
      <w:start w:val="1"/>
      <w:numFmt w:val="lowerLetter"/>
      <w:lvlText w:val="%5."/>
      <w:lvlJc w:val="left"/>
      <w:pPr>
        <w:ind w:left="4876" w:hanging="360"/>
      </w:pPr>
    </w:lvl>
    <w:lvl w:ilvl="5" w:tplc="0409001B">
      <w:start w:val="1"/>
      <w:numFmt w:val="lowerRoman"/>
      <w:lvlText w:val="%6."/>
      <w:lvlJc w:val="right"/>
      <w:pPr>
        <w:ind w:left="5596" w:hanging="180"/>
      </w:pPr>
    </w:lvl>
    <w:lvl w:ilvl="6" w:tplc="0409000F">
      <w:start w:val="1"/>
      <w:numFmt w:val="decimal"/>
      <w:lvlText w:val="%7."/>
      <w:lvlJc w:val="left"/>
      <w:pPr>
        <w:ind w:left="6316" w:hanging="360"/>
      </w:pPr>
    </w:lvl>
    <w:lvl w:ilvl="7" w:tplc="04090019">
      <w:start w:val="1"/>
      <w:numFmt w:val="lowerLetter"/>
      <w:lvlText w:val="%8."/>
      <w:lvlJc w:val="left"/>
      <w:pPr>
        <w:ind w:left="7036" w:hanging="360"/>
      </w:pPr>
    </w:lvl>
    <w:lvl w:ilvl="8" w:tplc="0409001B">
      <w:start w:val="1"/>
      <w:numFmt w:val="lowerRoman"/>
      <w:lvlText w:val="%9."/>
      <w:lvlJc w:val="right"/>
      <w:pPr>
        <w:ind w:left="7756" w:hanging="180"/>
      </w:pPr>
    </w:lvl>
  </w:abstractNum>
  <w:num w:numId="1">
    <w:abstractNumId w:val="1"/>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43486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434866&amp;lt;/CaseID&amp;gt;_x000d__x000a_        &amp;lt;CaseMonth&amp;gt;7&amp;lt;/CaseMonth&amp;gt;_x000d__x000a_        &amp;lt;CaseYear&amp;gt;2022&amp;lt;/CaseYear&amp;gt;_x000d__x000a_        &amp;lt;CaseNumber&amp;gt;22355&amp;lt;/CaseNumber&amp;gt;_x000d__x000a_        &amp;lt;NumeratorGroupID&amp;gt;1&amp;lt;/NumeratorGroupID&amp;gt;_x000d__x000a_        &amp;lt;CaseName&amp;gt;כהן נ&amp;#39; לוי כהן&amp;lt;/CaseName&amp;gt;_x000d__x000a_        &amp;lt;CourtID&amp;gt;41&amp;lt;/CourtID&amp;gt;_x000d__x000a_        &amp;lt;CaseTypeID&amp;gt;10262&amp;lt;/CaseTypeID&amp;gt;_x000d__x000a_        &amp;lt;CaseInterestID&amp;gt;10512&amp;lt;/CaseInterestID&amp;gt;_x000d__x000a_        &amp;lt;CaseJudgeName&amp;gt;אפרת שהם דליות&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2355-07-22&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2-07-12T11:11:00+03:00&amp;lt;/CaseOpenDate&amp;gt;_x000d__x000a_        &amp;lt;PleaTypeID&amp;gt;4&amp;lt;/PleaTypeID&amp;gt;_x000d__x000a_        &amp;lt;CourtLevelID&amp;gt;1&amp;lt;/CourtLevelID&amp;gt;_x000d__x000a_        &amp;lt;CourtLevelCaseTypeInterestID&amp;gt;1774&amp;lt;/CourtLevelCaseTypeInterestID&amp;gt;_x000d__x000a_        &amp;lt;CaseJudgeFirstName&amp;gt;אפרת&amp;lt;/CaseJudgeFirstName&amp;gt;_x000d__x000a_        &amp;lt;CaseJudgeLastName&amp;gt;שהם דליות&amp;lt;/CaseJudgeLastName&amp;gt;_x000d__x000a_        &amp;lt;JudicalPersonID&amp;gt;031902232@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434866&amp;lt;/CaseID&amp;gt;_x000d__x000a_        &amp;lt;CaseMonth&amp;gt;7&amp;lt;/CaseMonth&amp;gt;_x000d__x000a_        &amp;lt;CaseYear&amp;gt;2022&amp;lt;/CaseYear&amp;gt;_x000d__x000a_        &amp;lt;CaseNumber&amp;gt;22355&amp;lt;/CaseNumber&amp;gt;_x000d__x000a_        &amp;lt;NumeratorGroupID&amp;gt;1&amp;lt;/NumeratorGroupID&amp;gt;_x000d__x000a_        &amp;lt;CaseName&amp;gt;כהן נ&amp;#39; לוי כהן&amp;lt;/CaseName&amp;gt;_x000d__x000a_        &amp;lt;CourtID&amp;gt;41&amp;lt;/CourtID&amp;gt;_x000d__x000a_        &amp;lt;CaseTypeID&amp;gt;10262&amp;lt;/CaseTypeID&amp;gt;_x000d__x000a_        &amp;lt;CaseInterestID&amp;gt;10512&amp;lt;/CaseInterestID&amp;gt;_x000d__x000a_        &amp;lt;CaseJudgeName&amp;gt;אפרת שהם דליות&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2355-07-22&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CaseNextDeterminingTask&amp;gt;34&amp;lt;/CaseNextDeterminingTask&amp;gt;_x000d__x000a_        &amp;lt;CaseOpenDate&amp;gt;2022-07-12T11:11:00+03:00&amp;lt;/CaseOpenDate&amp;gt;_x000d__x000a_        &amp;lt;PleaTypeID&amp;gt;4&amp;lt;/PleaTypeID&amp;gt;_x000d__x000a_        &amp;lt;CourtLevelID&amp;gt;1&amp;lt;/CourtLevelID&amp;gt;_x000d__x000a_        &amp;lt;CourtLevelCaseTypeInterestID&amp;gt;1774&amp;lt;/CourtLevelCaseTypeInterestID&amp;gt;_x000d__x000a_        &amp;lt;CaseJudgeFirstName&amp;gt;אפרת&amp;lt;/CaseJudgeFirstName&amp;gt;_x000d__x000a_        &amp;lt;CaseJudgeLastName&amp;gt;שהם דליות&amp;lt;/CaseJudgeLastName&amp;gt;_x000d__x000a_        &amp;lt;JudicalPersonID&amp;gt;031902232@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8187890&amp;lt;/DecisionID&amp;gt;_x000d__x000a_        &amp;lt;DecisionName&amp;gt;פסק דין  שניתנה ע&amp;quot;י  אפרת שהם דליות&amp;lt;/DecisionName&amp;gt;_x000d__x000a_        &amp;lt;DecisionStatusID&amp;gt;1&amp;lt;/DecisionStatusID&amp;gt;_x000d__x000a_        &amp;lt;DecisionStatusChangeDate&amp;gt;2023-11-25T13:18:21.463+02:00&amp;lt;/DecisionStatusChangeDate&amp;gt;_x000d__x000a_        &amp;lt;DecisionSignatureDate&amp;gt;2023-11-22T17:24:05.45+02:00&amp;lt;/DecisionSignatureDate&amp;gt;_x000d__x000a_        &amp;lt;DecisionSignatureUserID&amp;gt;031902232@GOV.IL&amp;lt;/DecisionSignatureUserID&amp;gt;_x000d__x000a_        &amp;lt;DecisionCreateDate&amp;gt;2023-11-22T17:24:37.04+02:00&amp;lt;/DecisionCreateDate&amp;gt;_x000d__x000a_        &amp;lt;DecisionChangeDate&amp;gt;2023-11-25T13:18:21.547+02:00&amp;lt;/DecisionChangeDate&amp;gt;_x000d__x000a_        &amp;lt;DecisionChangeUserID&amp;gt;03190223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662502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190223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1902232@GOV.IL&amp;lt;/DecisionCreationUserID&amp;gt;_x000d__x000a_        &amp;lt;DecisionDisplayName&amp;gt;פסק דין  שניתנה ע&amp;quot;י  אפרת שהם דליות&amp;lt;/DecisionDisplayName&amp;gt;_x000d__x000a_        &amp;lt;IsScanned&amp;gt;false&amp;lt;/IsScanned&amp;gt;_x000d__x000a_        &amp;lt;DecisionSignatureUserName&amp;gt;אפרת שהם דליות&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8&amp;lt;/DecisionNumberInCase&amp;gt;_x000d__x000a_      &amp;lt;/dt_Decision&amp;gt;_x000d__x000a_      &amp;lt;dt_DecisionCase diffgr:id=&amp;quot;dt_DecisionCase1&amp;quot; msdata:rowOrder=&amp;quot;0&amp;quot;&amp;gt;_x000d__x000a_        &amp;lt;DecisionID&amp;gt;148187890&amp;lt;/DecisionID&amp;gt;_x000d__x000a_        &amp;lt;CaseID&amp;gt;79434866&amp;lt;/CaseID&amp;gt;_x000d__x000a_        &amp;lt;IsOriginal&amp;gt;true&amp;lt;/IsOriginal&amp;gt;_x000d__x000a_        &amp;lt;IsDeleted&amp;gt;false&amp;lt;/IsDeleted&amp;gt;_x000d__x000a_        &amp;lt;CaseName&amp;gt;כהן נ&amp;#39; לוי כהן&amp;lt;/CaseName&amp;gt;_x000d__x000a_        &amp;lt;CaseDisplayIdentifier&amp;gt;22355-07-22 תלה&amp;quot;מ&amp;lt;/CaseDisplayIdentifier&amp;gt;_x000d__x000a_      &amp;lt;/dt_DecisionCase&amp;gt;_x000d__x000a_    &amp;lt;/DecisionDS&amp;gt;_x000d__x000a_  &amp;lt;/diffgr:diffgram&amp;gt;_x000d__x000a_&amp;lt;/DecisionDS&amp;gt;"/>
    <w:docVar w:name="DecisionID" w:val="148187890"/>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906FE"/>
    <w:rsid w:val="000964A6"/>
    <w:rsid w:val="00096AF7"/>
    <w:rsid w:val="000B344B"/>
    <w:rsid w:val="000C3B0F"/>
    <w:rsid w:val="000C3B60"/>
    <w:rsid w:val="000E0DD2"/>
    <w:rsid w:val="000E3AF1"/>
    <w:rsid w:val="000F0BC8"/>
    <w:rsid w:val="000F0DD6"/>
    <w:rsid w:val="000F192C"/>
    <w:rsid w:val="00107E6D"/>
    <w:rsid w:val="0011194C"/>
    <w:rsid w:val="0011424C"/>
    <w:rsid w:val="001173C6"/>
    <w:rsid w:val="00120A21"/>
    <w:rsid w:val="001367BC"/>
    <w:rsid w:val="00144D2A"/>
    <w:rsid w:val="0014653E"/>
    <w:rsid w:val="00180519"/>
    <w:rsid w:val="0018165A"/>
    <w:rsid w:val="00184395"/>
    <w:rsid w:val="00191C82"/>
    <w:rsid w:val="001B1D7D"/>
    <w:rsid w:val="001C4003"/>
    <w:rsid w:val="001C6B21"/>
    <w:rsid w:val="001D4DBF"/>
    <w:rsid w:val="001E733D"/>
    <w:rsid w:val="001E75CA"/>
    <w:rsid w:val="001F1D68"/>
    <w:rsid w:val="002265FF"/>
    <w:rsid w:val="00271B56"/>
    <w:rsid w:val="002B2F93"/>
    <w:rsid w:val="002C344E"/>
    <w:rsid w:val="002D6F33"/>
    <w:rsid w:val="002E75E9"/>
    <w:rsid w:val="002F4FFD"/>
    <w:rsid w:val="00300E68"/>
    <w:rsid w:val="00307A6A"/>
    <w:rsid w:val="00307C40"/>
    <w:rsid w:val="00310C49"/>
    <w:rsid w:val="00320433"/>
    <w:rsid w:val="003230C7"/>
    <w:rsid w:val="00327E50"/>
    <w:rsid w:val="00334F73"/>
    <w:rsid w:val="0033597A"/>
    <w:rsid w:val="00343D89"/>
    <w:rsid w:val="00362612"/>
    <w:rsid w:val="0036743F"/>
    <w:rsid w:val="003715DD"/>
    <w:rsid w:val="003823E0"/>
    <w:rsid w:val="003A4521"/>
    <w:rsid w:val="003D1C8C"/>
    <w:rsid w:val="0040096C"/>
    <w:rsid w:val="00414F1F"/>
    <w:rsid w:val="0043125D"/>
    <w:rsid w:val="0043502B"/>
    <w:rsid w:val="004443AC"/>
    <w:rsid w:val="00451E28"/>
    <w:rsid w:val="00462C62"/>
    <w:rsid w:val="00465D36"/>
    <w:rsid w:val="004C17EE"/>
    <w:rsid w:val="004C4BDF"/>
    <w:rsid w:val="004D1187"/>
    <w:rsid w:val="004D3AA0"/>
    <w:rsid w:val="004E1987"/>
    <w:rsid w:val="004E2E15"/>
    <w:rsid w:val="004E6E3C"/>
    <w:rsid w:val="00520898"/>
    <w:rsid w:val="00523621"/>
    <w:rsid w:val="00524986"/>
    <w:rsid w:val="005268F6"/>
    <w:rsid w:val="00534284"/>
    <w:rsid w:val="00547DB7"/>
    <w:rsid w:val="005B6130"/>
    <w:rsid w:val="005F4F09"/>
    <w:rsid w:val="0061431B"/>
    <w:rsid w:val="00622BAA"/>
    <w:rsid w:val="006306CF"/>
    <w:rsid w:val="00644E9A"/>
    <w:rsid w:val="00671BD5"/>
    <w:rsid w:val="006805C1"/>
    <w:rsid w:val="00686C21"/>
    <w:rsid w:val="006931C1"/>
    <w:rsid w:val="00694556"/>
    <w:rsid w:val="006A3FA1"/>
    <w:rsid w:val="006C30C5"/>
    <w:rsid w:val="006D3B31"/>
    <w:rsid w:val="006E0D96"/>
    <w:rsid w:val="006E1A53"/>
    <w:rsid w:val="006F56E6"/>
    <w:rsid w:val="00704EDA"/>
    <w:rsid w:val="0071078D"/>
    <w:rsid w:val="00721122"/>
    <w:rsid w:val="00726517"/>
    <w:rsid w:val="00753019"/>
    <w:rsid w:val="00754801"/>
    <w:rsid w:val="00761441"/>
    <w:rsid w:val="00775C69"/>
    <w:rsid w:val="00795365"/>
    <w:rsid w:val="007A351D"/>
    <w:rsid w:val="007B7765"/>
    <w:rsid w:val="007C5BDD"/>
    <w:rsid w:val="007D45E3"/>
    <w:rsid w:val="007E6115"/>
    <w:rsid w:val="007F4609"/>
    <w:rsid w:val="00814468"/>
    <w:rsid w:val="008176A1"/>
    <w:rsid w:val="00820005"/>
    <w:rsid w:val="0082206B"/>
    <w:rsid w:val="00844318"/>
    <w:rsid w:val="00863F5D"/>
    <w:rsid w:val="00865199"/>
    <w:rsid w:val="00870890"/>
    <w:rsid w:val="00873602"/>
    <w:rsid w:val="00875D12"/>
    <w:rsid w:val="0088479D"/>
    <w:rsid w:val="00896889"/>
    <w:rsid w:val="008A26BE"/>
    <w:rsid w:val="008C5714"/>
    <w:rsid w:val="008D10B2"/>
    <w:rsid w:val="008F0D60"/>
    <w:rsid w:val="00903896"/>
    <w:rsid w:val="00906F3D"/>
    <w:rsid w:val="0094424E"/>
    <w:rsid w:val="00955642"/>
    <w:rsid w:val="009622DF"/>
    <w:rsid w:val="00967DFF"/>
    <w:rsid w:val="00994341"/>
    <w:rsid w:val="009D1A48"/>
    <w:rsid w:val="009E1CE7"/>
    <w:rsid w:val="009E31C9"/>
    <w:rsid w:val="009E4EA5"/>
    <w:rsid w:val="009F164B"/>
    <w:rsid w:val="009F323C"/>
    <w:rsid w:val="00A21194"/>
    <w:rsid w:val="00A3392B"/>
    <w:rsid w:val="00A85E34"/>
    <w:rsid w:val="00A94B64"/>
    <w:rsid w:val="00AA3229"/>
    <w:rsid w:val="00AA7596"/>
    <w:rsid w:val="00AB5E52"/>
    <w:rsid w:val="00AC3B02"/>
    <w:rsid w:val="00AC3B7B"/>
    <w:rsid w:val="00AC5209"/>
    <w:rsid w:val="00AC730F"/>
    <w:rsid w:val="00AE3E77"/>
    <w:rsid w:val="00AE729E"/>
    <w:rsid w:val="00AE7752"/>
    <w:rsid w:val="00AF7FDA"/>
    <w:rsid w:val="00B3531F"/>
    <w:rsid w:val="00B5356E"/>
    <w:rsid w:val="00B809AD"/>
    <w:rsid w:val="00B80CBD"/>
    <w:rsid w:val="00B86096"/>
    <w:rsid w:val="00B964D9"/>
    <w:rsid w:val="00BA0A7C"/>
    <w:rsid w:val="00BA1409"/>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608F"/>
    <w:rsid w:val="00CE02FA"/>
    <w:rsid w:val="00D04AA4"/>
    <w:rsid w:val="00D27982"/>
    <w:rsid w:val="00D33B86"/>
    <w:rsid w:val="00D53924"/>
    <w:rsid w:val="00D55D0C"/>
    <w:rsid w:val="00D96D8C"/>
    <w:rsid w:val="00DA6649"/>
    <w:rsid w:val="00DC1259"/>
    <w:rsid w:val="00DC1BD2"/>
    <w:rsid w:val="00DC2571"/>
    <w:rsid w:val="00DC303B"/>
    <w:rsid w:val="00DC487C"/>
    <w:rsid w:val="00DE1E7D"/>
    <w:rsid w:val="00DE6BF6"/>
    <w:rsid w:val="00E1068A"/>
    <w:rsid w:val="00E25884"/>
    <w:rsid w:val="00E25B55"/>
    <w:rsid w:val="00E31C2B"/>
    <w:rsid w:val="00E52810"/>
    <w:rsid w:val="00E5426A"/>
    <w:rsid w:val="00E54642"/>
    <w:rsid w:val="00E80CBE"/>
    <w:rsid w:val="00E962E3"/>
    <w:rsid w:val="00EB0545"/>
    <w:rsid w:val="00EB6C79"/>
    <w:rsid w:val="00EC37E9"/>
    <w:rsid w:val="00EE42E9"/>
    <w:rsid w:val="00F06995"/>
    <w:rsid w:val="00F13623"/>
    <w:rsid w:val="00F44D1D"/>
    <w:rsid w:val="00F660FC"/>
    <w:rsid w:val="00F84B6D"/>
    <w:rsid w:val="00F93D6D"/>
    <w:rsid w:val="00FA5FDA"/>
    <w:rsid w:val="00FB6AB3"/>
    <w:rsid w:val="00FC1CBF"/>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F660FC"/>
    <w:pPr>
      <w:ind w:left="720"/>
      <w:contextualSpacing/>
    </w:pPr>
  </w:style>
  <w:style w:type="paragraph" w:customStyle="1" w:styleId="10">
    <w:name w:val="פיסקת רשימה1"/>
    <w:basedOn w:val="a"/>
    <w:uiPriority w:val="34"/>
    <w:qFormat/>
    <w:rsid w:val="00F660FC"/>
    <w:pPr>
      <w:ind w:left="720"/>
      <w:contextualSpacing/>
    </w:pPr>
  </w:style>
  <w:style w:type="paragraph" w:customStyle="1" w:styleId="2">
    <w:name w:val="פיסקת רשימה2"/>
    <w:basedOn w:val="a"/>
    <w:qFormat/>
    <w:rsid w:val="00F660FC"/>
    <w:pPr>
      <w:ind w:left="720"/>
      <w:contextualSpacing/>
    </w:pPr>
    <w:rPr>
      <w:rFonts w:eastAsia="Calibri"/>
    </w:rPr>
  </w:style>
  <w:style w:type="paragraph" w:customStyle="1" w:styleId="listparagraph">
    <w:name w:val="listparagraph"/>
    <w:basedOn w:val="a"/>
    <w:rsid w:val="00F660FC"/>
    <w:pPr>
      <w:bidi w:val="0"/>
      <w:spacing w:before="100" w:beforeAutospacing="1" w:after="100" w:afterAutospacing="1"/>
    </w:pPr>
    <w:rPr>
      <w:rFonts w:cs="Times New Roman"/>
      <w:noProof w:val="0"/>
    </w:rPr>
  </w:style>
  <w:style w:type="character" w:customStyle="1" w:styleId="default">
    <w:name w:val="default"/>
    <w:rsid w:val="00F660FC"/>
    <w:rPr>
      <w:rFonts w:ascii="Times New Roman" w:hAnsi="Times New Roman" w:cs="Times New Roman" w:hint="default"/>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2935054">
      <w:bodyDiv w:val="1"/>
      <w:marLeft w:val="0"/>
      <w:marRight w:val="0"/>
      <w:marTop w:val="0"/>
      <w:marBottom w:val="0"/>
      <w:divBdr>
        <w:top w:val="none" w:sz="0" w:space="0" w:color="auto"/>
        <w:left w:val="none" w:sz="0" w:space="0" w:color="auto"/>
        <w:bottom w:val="none" w:sz="0" w:space="0" w:color="auto"/>
        <w:right w:val="none" w:sz="0" w:space="0" w:color="auto"/>
      </w:divBdr>
    </w:div>
    <w:div w:id="798767493">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5A892F2D4BC84BB88E3B711F0C818B32"/>
        <w:category>
          <w:name w:val="כללי"/>
          <w:gallery w:val="placeholder"/>
        </w:category>
        <w:types>
          <w:type w:val="bbPlcHdr"/>
        </w:types>
        <w:behaviors>
          <w:behavior w:val="content"/>
        </w:behaviors>
        <w:guid w:val="{4092654F-77FB-4FB4-ADB6-65646FC36400}"/>
      </w:docPartPr>
      <w:docPartBody>
        <w:p w:rsidR="005E6651" w:rsidRDefault="009B777D" w:rsidP="009B777D">
          <w:pPr>
            <w:pStyle w:val="5A892F2D4BC84BB88E3B711F0C818B32"/>
          </w:pPr>
          <w:r>
            <w:rPr>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01F6C"/>
    <w:rsid w:val="002D02C4"/>
    <w:rsid w:val="00345C9D"/>
    <w:rsid w:val="0048651F"/>
    <w:rsid w:val="005157ED"/>
    <w:rsid w:val="00556D67"/>
    <w:rsid w:val="005E6651"/>
    <w:rsid w:val="00793995"/>
    <w:rsid w:val="007C6F98"/>
    <w:rsid w:val="007E254A"/>
    <w:rsid w:val="008B4366"/>
    <w:rsid w:val="008E3C2F"/>
    <w:rsid w:val="009133C7"/>
    <w:rsid w:val="009178E4"/>
    <w:rsid w:val="00961B27"/>
    <w:rsid w:val="009B777D"/>
    <w:rsid w:val="00AA7CE3"/>
    <w:rsid w:val="00B71412"/>
    <w:rsid w:val="00B91FA3"/>
    <w:rsid w:val="00C96C06"/>
    <w:rsid w:val="00E31BF6"/>
    <w:rsid w:val="00E81DB1"/>
    <w:rsid w:val="00F04DC1"/>
    <w:rsid w:val="00F678CA"/>
    <w:rsid w:val="00F74F13"/>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1F6C"/>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FE03EA992EDF4420B9991EA8F4C8F4B4">
    <w:name w:val="FE03EA992EDF4420B9991EA8F4C8F4B4"/>
    <w:rsid w:val="00201F6C"/>
    <w:pPr>
      <w:bidi/>
      <w:spacing w:after="0" w:line="240" w:lineRule="auto"/>
    </w:pPr>
    <w:rPr>
      <w:rFonts w:ascii="Times New Roman" w:eastAsia="Times New Roman" w:hAnsi="Times New Roman" w:cs="David"/>
      <w:noProof/>
      <w:sz w:val="24"/>
      <w:szCs w:val="24"/>
    </w:rPr>
  </w:style>
  <w:style w:type="paragraph" w:customStyle="1" w:styleId="E1D428B32AE54FA8B4D0E3C277F79364">
    <w:name w:val="E1D428B32AE54FA8B4D0E3C277F79364"/>
    <w:rsid w:val="00201F6C"/>
    <w:pPr>
      <w:bidi/>
      <w:spacing w:after="0" w:line="240" w:lineRule="auto"/>
    </w:pPr>
    <w:rPr>
      <w:rFonts w:ascii="Times New Roman" w:eastAsia="Times New Roman" w:hAnsi="Times New Roman" w:cs="David"/>
      <w:noProof/>
      <w:sz w:val="24"/>
      <w:szCs w:val="24"/>
    </w:rPr>
  </w:style>
  <w:style w:type="paragraph" w:customStyle="1" w:styleId="A4C3FFE7063149D0B5BC4CCAB93CF535">
    <w:name w:val="A4C3FFE7063149D0B5BC4CCAB93CF535"/>
    <w:rsid w:val="00201F6C"/>
    <w:pPr>
      <w:bidi/>
      <w:spacing w:after="0" w:line="240" w:lineRule="auto"/>
    </w:pPr>
    <w:rPr>
      <w:rFonts w:ascii="Times New Roman" w:eastAsia="Times New Roman" w:hAnsi="Times New Roman" w:cs="David"/>
      <w:noProof/>
      <w:sz w:val="24"/>
      <w:szCs w:val="24"/>
    </w:rPr>
  </w:style>
  <w:style w:type="paragraph" w:customStyle="1" w:styleId="F0C200D36FCF4F5884C7408F30B556ED">
    <w:name w:val="F0C200D36FCF4F5884C7408F30B556ED"/>
    <w:rsid w:val="00201F6C"/>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201F6C"/>
    <w:pPr>
      <w:bidi/>
      <w:spacing w:after="0" w:line="240" w:lineRule="auto"/>
    </w:pPr>
    <w:rPr>
      <w:rFonts w:ascii="Times New Roman" w:eastAsia="Times New Roman" w:hAnsi="Times New Roman" w:cs="David"/>
      <w:noProof/>
      <w:sz w:val="24"/>
      <w:szCs w:val="24"/>
    </w:rPr>
  </w:style>
  <w:style w:type="paragraph" w:customStyle="1" w:styleId="5A892F2D4BC84BB88E3B711F0C818B32">
    <w:name w:val="5A892F2D4BC84BB88E3B711F0C818B32"/>
    <w:rsid w:val="009B777D"/>
    <w:pPr>
      <w:bidi/>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79434866</CaseID>
    <CaseJudicialPersonPresentationDS>
      <CaseJudicalPersonActive>
        <CaseID>79434866</CaseID>
        <JudicialPersonID>031902232@GOV.IL</JudicialPersonID>
        <JudicialPersonTypeID>1</JudicialPersonTypeID>
        <JudicialTypeID>1</JudicialTypeID>
        <IsChairman>false</IsChairman>
        <TreatmentStartDate>2023-09-21T12:06:53.507+03:00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יקיר שקרצי</FullName>
        <FirstName>יקיר</FirstName>
        <LastName>שקרצי</LastName>
        <PartyPropertyName/>
        <AuthenticationTypeAndNumber>מ.ר. 82965</AuthenticationTypeAndNumber>
        <RepresentatedOrRepresentativesNames>שימרית בר דוד</RepresentatedOrRepresentativesNames>
        <RepresentatedOrRepresentativesCount>1</RepresentatedOrRepresentativesCount>
        <InvitedBy/>
        <CaseID>79434866</CaseID>
        <CaseJudicialPersonPresentationDS>
          <CaseJudicalPersonActive>
            <CaseID>79434866</CaseID>
            <JudicialPersonID>031902232@GOV.IL</JudicialPersonID>
            <JudicialPersonTypeID>1</JudicialPersonTypeID>
            <JudicialTypeID>1</JudicialTypeID>
            <IsChairman>false</IsChairman>
            <TreatmentStartDate>2023-09-21T12:06:53.507+03:00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243951127</CasePartyID>
        <PartyTypeID>2</PartyTypeID>
        <ActivityStatusID>1</ActivityStatusID>
        <PartyAliasID>21</PartyAliasID>
        <PartyAliasName>בא כוח נתבעים</PartyAliasName>
        <LegalEntityID>78787441</LegalEntityID>
        <CaseLegalEntityID>120652174</CaseLegalEntityID>
        <AuthenticationTypeID>4</AuthenticationTypeID>
        <AuthenticationTypeName>מ.ר.</AuthenticationTypeName>
        <LegalEntityNumber>82965</LegalEntityNumber>
        <IsMainPartyType>true</IsMainPartyType>
        <CaseDisplayIdentifier>22355-07-22</CaseDisplayIdentifier>
        <CaseTypeID>10262</CaseTypeID>
        <CaseTypeName>תביעה לאחר הסדר התדיינויות במשפחה (תלה"מ)</CaseTypeName>
        <CaseName>כהן נ' לוי כהן</CaseName>
        <FullAddress>וולפסון דוד 1/8 באר שבע </FullAddress>
        <EmailAddress>ysk91186@gmail.com</EmailAddress>
        <MotionID>0</MotionID>
        <CasePleaID>0</CasePleaID>
        <LinkedCaseID>0</LinkedCaseID>
        <PartyID>2</PartyID>
        <CasePartyCategoryID>2</CasePartyCategoryID>
        <LegalEntityAddressID>85728619</LegalEntityAddressID>
        <LegalEntityEmailAddressID>68055980</LegalEntityEmailAddressID>
        <PleaTypeID>4</PleaTypeID>
        <LawyerOfficeName>משרד עו"ד יקיר שקרצי</LawyerOfficeName>
        <LawyerOfficeID>78787442</LawyerOfficeID>
        <GroupPartyAlias/>
        <IsConverted>false</IsConverted>
        <LegalEntityNameID>89225684</LegalEntityNameID>
        <RepresentatedNamesOfAssistant/>
        <LegalEntityTypeID>4</LegalEntityTypeID>
        <IsVerdictExists>false</IsVerdictExists>
        <IsAsirAzir>false</IsAsirAzir>
        <IsPublicationProhibited>false</IsPublicationProhibited>
        <PublicationProhibitedFullName>יקיר שקרצי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פלג כהן</FullName>
        <FirstName>פלג</FirstName>
        <LastName>כהן</LastName>
        <PartyPropertyName/>
        <AuthenticationTypeAndNumber>ת"ז 300137387</AuthenticationTypeAndNumber>
        <RepresentatedOrRepresentativesNames/>
        <RepresentatedOrRepresentativesCount>0</RepresentatedOrRepresentativesCount>
        <InvitedBy/>
        <CaseID>79434866</CaseID>
        <CaseJudicialPersonPresentationDS>
          <CaseJudicalPersonActive>
            <CaseID>79434866</CaseID>
            <JudicialPersonID>031902232@GOV.IL</JudicialPersonID>
            <JudicialPersonTypeID>1</JudicialPersonTypeID>
            <JudicialTypeID>1</JudicialTypeID>
            <IsChairman>false</IsChairman>
            <TreatmentStartDate>2023-09-21T12:06:53.507+03:00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243495943</CasePartyID>
        <PartyTypeID>1</PartyTypeID>
        <ActivityStatusID>1</ActivityStatusID>
        <PartyAliasID>1</PartyAliasID>
        <PartyAliasName>תובע</PartyAliasName>
        <OrdinalNumber>1</OrdinalNumber>
        <LegalEntityID>71796879</LegalEntityID>
        <CaseLegalEntityID>120513472</CaseLegalEntityID>
        <AuthenticationTypeID>1</AuthenticationTypeID>
        <AuthenticationTypeName>ת"ז</AuthenticationTypeName>
        <LegalEntityNumber>300137387</LegalEntityNumber>
        <IsMainPartyType>true</IsMainPartyType>
        <CaseDisplayIdentifier>22355-07-22</CaseDisplayIdentifier>
        <CaseTypeID>10262</CaseTypeID>
        <CaseTypeName>תביעה לאחר הסדר התדיינויות במשפחה (תלה"מ)</CaseTypeName>
        <CaseName>כהן נ' לוי כהן</CaseName>
        <FullAddress>פיארברג 25/7 באר שבע </FullAddress>
        <MotionID>0</MotionID>
        <CasePleaID>0</CasePleaID>
        <FatherName>יהודה</FatherName>
        <LinkedCaseID>0</LinkedCaseID>
        <PartyID>1</PartyID>
        <CasePartyCategoryID>2</CasePartyCategoryID>
        <LegalEntityAddressID>86738226</LegalEntityAddressID>
        <GrandfatherName/>
        <DrivingLicenseNumber>8544697</DrivingLicenseNumber>
        <PleaTypeID>4</PleaTypeID>
        <GroupPartyAlias>תובעים</GroupPartyAlias>
        <IsConverted>false</IsConverted>
        <LegalEntityRegisteredNameID>8351475</LegalEntityRegisteredNameID>
        <LegalEntityNameID>93393927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פלג כהן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שימרית בר דוד</FullName>
        <FirstName>שימרית</FirstName>
        <LastName>בר דוד</LastName>
        <PartyPropertyName/>
        <AuthenticationTypeAndNumber>ת"ז 300674355</AuthenticationTypeAndNumber>
        <RepresentatedOrRepresentativesNames>יקיר שקרצי</RepresentatedOrRepresentativesNames>
        <RepresentatedOrRepresentativesCount>1</RepresentatedOrRepresentativesCount>
        <InvitedBy/>
        <CaseID>79434866</CaseID>
        <CaseJudicialPersonPresentationDS>
          <CaseJudicalPersonActive>
            <CaseID>79434866</CaseID>
            <JudicialPersonID>031902232@GOV.IL</JudicialPersonID>
            <JudicialPersonTypeID>1</JudicialPersonTypeID>
            <JudicialTypeID>1</JudicialTypeID>
            <IsChairman>false</IsChairman>
            <TreatmentStartDate>2023-09-21T12:06:53.507+03:00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243495944</CasePartyID>
        <PartyTypeID>1</PartyTypeID>
        <ActivityStatusID>1</ActivityStatusID>
        <PartyAliasID>2</PartyAliasID>
        <PartyAliasName>נתבע</PartyAliasName>
        <OrdinalNumber>1</OrdinalNumber>
        <LegalEntityID>72857862</LegalEntityID>
        <CaseLegalEntityID>120513473</CaseLegalEntityID>
        <AuthenticationTypeID>1</AuthenticationTypeID>
        <AuthenticationTypeName>ת"ז</AuthenticationTypeName>
        <LegalEntityNumber>300674355</LegalEntityNumber>
        <IsMainPartyType>true</IsMainPartyType>
        <CaseDisplayIdentifier>22355-07-22</CaseDisplayIdentifier>
        <CaseTypeID>10262</CaseTypeID>
        <CaseTypeName>תביעה לאחר הסדר התדיינויות במשפחה (תלה"מ)</CaseTypeName>
        <CaseName>כהן נ' לוי כהן</CaseName>
        <FullAddress>יהודה הלוי 12/26 באר שבע </FullAddress>
        <MotionID>0</MotionID>
        <CasePleaID>0</CasePleaID>
        <FatherName>מתתיהו</FatherName>
        <LinkedCaseID>0</LinkedCaseID>
        <PartyID>2</PartyID>
        <CasePartyCategoryID>2</CasePartyCategoryID>
        <LegalEntityAddressID>86738227</LegalEntityAddressID>
        <PleaTypeID>4</PleaTypeID>
        <GroupPartyAlias>נתבעים</GroupPartyAlias>
        <IsConverted>false</IsConverted>
        <LegalEntityRegisteredNameID>9888292</LegalEntityRegisteredNameID>
        <LegalEntityNameID>93393928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שימרית בר דוד</PublicationProhibitedFullName>
      </CaseParties>
    </CasePartiesSelectionDS>
    <DecisionName>פסק דין  שניתנה ע"י  אפרת שהם דליות</DecisionName>
    <CourtDisplayName>בית משפט לענייני משפחה בבאר שבע</CourtDisplayName>
    <IsCaseJudgePanel>false</IsCaseJudgePanel>
    <DecisionSignatureDate>2023-11-22T17:24:05.4501345+02:00</DecisionSignatureDate>
    <OpenCaseDate>2022-07-12T11:11:00+03:00</OpenCaseDate>
    <CaseFeeSum>200000.000</CaseFeeSum>
    <DecisionTypeID>2</DecisionTypeID>
    <DecisionSignatureUserName>אפרת שהם דליות</DecisionSignatureUserName>
    <DecisionSignatureDateHebrew>2023-11-22T17:24:05.4501345+02:00</DecisionSignatureDateHebrew>
    <DecisionWriterID>031902232@GOV.IL</DecisionWriterID>
    <CourtAddress>רח' התקווה 5 היכל המשפט, באר שבע 84102</CourtAddress>
    <IsAutoTextInCaseExist>false</IsAutoTextInCaseExist>
    <DecisionSignatureRoleName>שופט</DecisionSignatureRoleName>
    <DecisionSignatureUserTitleName>שופטת</DecisionSignatureUserTitleName>
    <CaseName>כהן נ' לוי כהן</CaseName>
    <DecisionNumberInCase>8</DecisionNumberInCase>
  </dt_Decision>
  <dt_DecisionCase>
    <DecisionID>0</DecisionID>
    <CaseID>79434866</CaseID>
    <CaseJudicialPersonPresentationDS>
      <CaseJudicalPersonActive>
        <CaseID>79434866</CaseID>
        <JudicialPersonID>031902232@GOV.IL</JudicialPersonID>
        <JudicialPersonTypeID>1</JudicialPersonTypeID>
        <JudicialTypeID>1</JudicialTypeID>
        <IsChairman>false</IsChairman>
        <TreatmentStartDate>2023-09-21T12:06:53.507+03:00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יקיר שקרצי</FullName>
        <FirstName>יקיר</FirstName>
        <LastName>שקרצי</LastName>
        <PartyPropertyName/>
        <AuthenticationTypeAndNumber>מ.ר. 82965</AuthenticationTypeAndNumber>
        <RepresentatedOrRepresentativesNames>שימרית בר דוד</RepresentatedOrRepresentativesNames>
        <RepresentatedOrRepresentativesCount>1</RepresentatedOrRepresentativesCount>
        <InvitedBy/>
        <CaseID>79434866</CaseID>
        <CaseJudicialPersonPresentationDS>
          <CaseJudicalPersonActive>
            <CaseID>79434866</CaseID>
            <JudicialPersonID>031902232@GOV.IL</JudicialPersonID>
            <JudicialPersonTypeID>1</JudicialPersonTypeID>
            <JudicialTypeID>1</JudicialTypeID>
            <IsChairman>false</IsChairman>
            <TreatmentStartDate>2023-09-21T12:06:53.507+03:00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243951127</CasePartyID>
        <PartyTypeID>2</PartyTypeID>
        <ActivityStatusID>1</ActivityStatusID>
        <PartyAliasID>21</PartyAliasID>
        <PartyAliasName>בא כוח נתבעים</PartyAliasName>
        <LegalEntityID>78787441</LegalEntityID>
        <CaseLegalEntityID>120652174</CaseLegalEntityID>
        <AuthenticationTypeID>4</AuthenticationTypeID>
        <AuthenticationTypeName>מ.ר.</AuthenticationTypeName>
        <LegalEntityNumber>82965</LegalEntityNumber>
        <IsMainPartyType>true</IsMainPartyType>
        <CaseDisplayIdentifier>22355-07-22</CaseDisplayIdentifier>
        <CaseTypeID>10262</CaseTypeID>
        <CaseTypeName>תביעה לאחר הסדר התדיינויות במשפחה (תלה"מ)</CaseTypeName>
        <CaseName>כהן נ' לוי כהן</CaseName>
        <FullAddress>וולפסון דוד 1/8 באר שבע </FullAddress>
        <EmailAddress>ysk91186@gmail.com</EmailAddress>
        <MotionID>0</MotionID>
        <CasePleaID>0</CasePleaID>
        <LinkedCaseID>0</LinkedCaseID>
        <PartyID>2</PartyID>
        <CasePartyCategoryID>2</CasePartyCategoryID>
        <LegalEntityAddressID>85728619</LegalEntityAddressID>
        <LegalEntityEmailAddressID>68055980</LegalEntityEmailAddressID>
        <PleaTypeID>4</PleaTypeID>
        <LawyerOfficeName>משרד עו"ד יקיר שקרצי</LawyerOfficeName>
        <LawyerOfficeID>78787442</LawyerOfficeID>
        <GroupPartyAlias/>
        <IsConverted>false</IsConverted>
        <LegalEntityNameID>89225684</LegalEntityNameID>
        <RepresentatedNamesOfAssistant/>
        <LegalEntityTypeID>4</LegalEntityTypeID>
        <IsVerdictExists>false</IsVerdictExists>
        <IsAsirAzir>false</IsAsirAzir>
        <IsPublicationProhibited>false</IsPublicationProhibited>
        <PublicationProhibitedFullName>יקיר שקרצי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פלג כהן</FullName>
        <FirstName>פלג</FirstName>
        <LastName>כהן</LastName>
        <PartyPropertyName/>
        <AuthenticationTypeAndNumber>ת"ז 300137387</AuthenticationTypeAndNumber>
        <RepresentatedOrRepresentativesNames/>
        <RepresentatedOrRepresentativesCount>0</RepresentatedOrRepresentativesCount>
        <InvitedBy/>
        <CaseID>79434866</CaseID>
        <CaseJudicialPersonPresentationDS>
          <CaseJudicalPersonActive>
            <CaseID>79434866</CaseID>
            <JudicialPersonID>031902232@GOV.IL</JudicialPersonID>
            <JudicialPersonTypeID>1</JudicialPersonTypeID>
            <JudicialTypeID>1</JudicialTypeID>
            <IsChairman>false</IsChairman>
            <TreatmentStartDate>2023-09-21T12:06:53.507+03:00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243495943</CasePartyID>
        <PartyTypeID>1</PartyTypeID>
        <ActivityStatusID>1</ActivityStatusID>
        <PartyAliasID>1</PartyAliasID>
        <PartyAliasName>תובע</PartyAliasName>
        <OrdinalNumber>1</OrdinalNumber>
        <LegalEntityID>71796879</LegalEntityID>
        <CaseLegalEntityID>120513472</CaseLegalEntityID>
        <AuthenticationTypeID>1</AuthenticationTypeID>
        <AuthenticationTypeName>ת"ז</AuthenticationTypeName>
        <LegalEntityNumber>300137387</LegalEntityNumber>
        <IsMainPartyType>true</IsMainPartyType>
        <CaseDisplayIdentifier>22355-07-22</CaseDisplayIdentifier>
        <CaseTypeID>10262</CaseTypeID>
        <CaseTypeName>תביעה לאחר הסדר התדיינויות במשפחה (תלה"מ)</CaseTypeName>
        <CaseName>כהן נ' לוי כהן</CaseName>
        <FullAddress>פיארברג 25/7 באר שבע </FullAddress>
        <MotionID>0</MotionID>
        <CasePleaID>0</CasePleaID>
        <FatherName>יהודה</FatherName>
        <LinkedCaseID>0</LinkedCaseID>
        <PartyID>1</PartyID>
        <CasePartyCategoryID>2</CasePartyCategoryID>
        <LegalEntityAddressID>86738226</LegalEntityAddressID>
        <GrandfatherName/>
        <DrivingLicenseNumber>8544697</DrivingLicenseNumber>
        <PleaTypeID>4</PleaTypeID>
        <GroupPartyAlias>תובעים</GroupPartyAlias>
        <IsConverted>false</IsConverted>
        <LegalEntityRegisteredNameID>8351475</LegalEntityRegisteredNameID>
        <LegalEntityNameID>93393927</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פלג כהן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שימרית בר דוד</FullName>
        <FirstName>שימרית</FirstName>
        <LastName>בר דוד</LastName>
        <PartyPropertyName/>
        <AuthenticationTypeAndNumber>ת"ז 300674355</AuthenticationTypeAndNumber>
        <RepresentatedOrRepresentativesNames>יקיר שקרצי</RepresentatedOrRepresentativesNames>
        <RepresentatedOrRepresentativesCount>1</RepresentatedOrRepresentativesCount>
        <InvitedBy/>
        <CaseID>79434866</CaseID>
        <CaseJudicialPersonPresentationDS>
          <CaseJudicalPersonActive>
            <CaseID>79434866</CaseID>
            <JudicialPersonID>031902232@GOV.IL</JudicialPersonID>
            <JudicialPersonTypeID>1</JudicialPersonTypeID>
            <JudicialTypeID>1</JudicialTypeID>
            <IsChairman>false</IsChairman>
            <TreatmentStartDate>2023-09-21T12:06:53.507+03:00</TreatmentStartDate>
            <TreatmentFinishDate>9999-12-31T23:59:59.997+02:00</TreatmentFinishDate>
            <IdentificationCardNumber>031902232</IdentificationCardNumber>
            <DisplayName>אפרת שהם דליות</DisplayName>
            <JudicialTypeName>שופט</JudicialTypeName>
            <CaseJudicialGroupNumber>0</CaseJudicialGroupNumber>
            <FirstName>אפרת</FirstName>
            <LastName>שהם דליות</LastName>
            <JudicialPersonTitle>שופט</JudicialPersonTitle>
          </CaseJudicalPersonActive>
        </CaseJudicialPersonPresentationDS>
        <CasePartyID>243495944</CasePartyID>
        <PartyTypeID>1</PartyTypeID>
        <ActivityStatusID>1</ActivityStatusID>
        <PartyAliasID>2</PartyAliasID>
        <PartyAliasName>נתבע</PartyAliasName>
        <OrdinalNumber>1</OrdinalNumber>
        <LegalEntityID>72857862</LegalEntityID>
        <CaseLegalEntityID>120513473</CaseLegalEntityID>
        <AuthenticationTypeID>1</AuthenticationTypeID>
        <AuthenticationTypeName>ת"ז</AuthenticationTypeName>
        <LegalEntityNumber>300674355</LegalEntityNumber>
        <IsMainPartyType>true</IsMainPartyType>
        <CaseDisplayIdentifier>22355-07-22</CaseDisplayIdentifier>
        <CaseTypeID>10262</CaseTypeID>
        <CaseTypeName>תביעה לאחר הסדר התדיינויות במשפחה (תלה"מ)</CaseTypeName>
        <CaseName>כהן נ' לוי כהן</CaseName>
        <FullAddress>יהודה הלוי 12/26 באר שבע </FullAddress>
        <MotionID>0</MotionID>
        <CasePleaID>0</CasePleaID>
        <FatherName>מתתיהו</FatherName>
        <LinkedCaseID>0</LinkedCaseID>
        <PartyID>2</PartyID>
        <CasePartyCategoryID>2</CasePartyCategoryID>
        <LegalEntityAddressID>86738227</LegalEntityAddressID>
        <PleaTypeID>4</PleaTypeID>
        <GroupPartyAlias>נתבעים</GroupPartyAlias>
        <IsConverted>false</IsConverted>
        <LegalEntityRegisteredNameID>9888292</LegalEntityRegisteredNameID>
        <LegalEntityNameID>93393928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שימרית בר דוד</PublicationProhibitedFullName>
      </CaseParties>
    </CasePartiesSelectionDS>
    <CaseName>כהן נ' לוי כהן</CaseName>
    <CaseDisplayIdentifier>22355-07-22</CaseDisplayIdentifier>
    <CaseInterestID>10512</CaseInterestID>
    <CaseTypeShortName>תלה"מ</CaseTypeShortName>
  </dt_DecisionCase>
  <dt_DecisionJudgePanel>
    <JudgeID>031902232@GOV.IL</JudgeID>
    <DisplayName>אפרת שהם דליות</DisplayName>
    <RoleName>שופט</RoleName>
    <UserTitleName>שופטת</UserTitleName>
  </dt_DecisionJudgePanel>
  <dt_LegalEntityDetails>
    <Fax>08-6916260</Fax>
    <Phone>08-6325556</Phone>
    <AddressDesc/>
    <PartyID>2</PartyID>
    <PartyTypeID>2</PartyTypeID>
    <DecisionID>0</DecisionID>
    <StreetName>וולפסון דוד 1/8</StreetName>
    <ZipCode>8426024</ZipCode>
    <CityName>באר שבע</CityName>
    <FullName>יקיר שקרצי</FullName>
    <Email>ysk91186@gmail.com</Email>
    <IsPublicationProhibited>false</IsPublicationProhibited>
  </dt_LegalEntityDetails>
  <dt_LegalEntityDetails>
    <PartyID>1</PartyID>
    <PartyTypeID>1</PartyTypeID>
    <DecisionID>0</DecisionID>
    <StreetName>פיארברג 25/7</StreetName>
    <CityName>באר שבע</CityName>
    <FullName>פלג כהן </FullName>
    <IsPublicationProhibited>false</IsPublicationProhibited>
  </dt_LegalEntityDetails>
  <dt_LegalEntityDetails>
    <PartyID>2</PartyID>
    <PartyTypeID>1</PartyTypeID>
    <DecisionID>0</DecisionID>
    <StreetName>יהודה הלוי 12/26</StreetName>
    <CityName>באר שבע</CityName>
    <FullName>שימרית בר דוד </FullName>
    <IsPublicationProhibited>false</IsPublicationProhibited>
  </dt_LegalEntityDetails>
  <dt_CaseJudicalPersonActive>
    <CaseJudicalPerson>שופטת אפרת שהם דליות</CaseJudicalPerson>
  </dt_CaseJudicalPersonActive>
  <dt_Sitting>
    <PreviousMeetingDate>2023-09-20T09:00:00+03:00</PreviousMeetingDate>
    <PreviousSittingTypeID>2</PreviousSittingTypeID>
    <PreviousMeetingDisplayName>שופטת אפרת שהם דליות</PreviousMeetingDisplayName>
    <PreviousMeetingRoleName>שופט</PreviousMeetingRoleName>
    <PreviousMeetingUserTitleName>שופטת</PreviousMeetingUserTitleName>
    <PreviousMeetingUserUPN>031902232@GOV.IL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D9B351-628B-450C-81CC-4BDE551AAD6B}">
  <ds:schemaRefs/>
</ds:datastoreItem>
</file>

<file path=customXml/itemProps2.xml><?xml version="1.0" encoding="utf-8"?>
<ds:datastoreItem xmlns:ds="http://schemas.openxmlformats.org/officeDocument/2006/customXml" ds:itemID="{9DB89585-DDE8-4D5E-889C-722046ABD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1764</Words>
  <Characters>8825</Characters>
  <Application>Microsoft Office Word</Application>
  <DocSecurity>0</DocSecurity>
  <Lines>73</Lines>
  <Paragraphs>21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10568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2024-07-18T15:43:00Z</dcterms:created>
  <dcterms:modified xsi:type="dcterms:W3CDTF">2024-07-18T15:43:00Z</dcterms:modified>
</cp:coreProperties>
</file>